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600" w:lineRule="exact"/>
        <w:jc w:val="center"/>
        <w:rPr>
          <w:rFonts w:hint="default" w:ascii="方正小标宋_GBK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关于</w:t>
      </w:r>
      <w:r>
        <w:rPr>
          <w:rFonts w:hint="eastAsia" w:ascii="方正小标宋_GBK" w:hAnsi="宋体" w:eastAsia="方正小标宋_GBK"/>
          <w:b/>
          <w:sz w:val="44"/>
          <w:szCs w:val="44"/>
        </w:rPr>
        <w:t>《双阳区生态环境保护“十四五”规划》</w:t>
      </w:r>
    </w:p>
    <w:p>
      <w:pPr>
        <w:spacing w:before="156" w:beforeLines="50" w:after="156" w:afterLines="50" w:line="600" w:lineRule="exact"/>
        <w:jc w:val="center"/>
        <w:rPr>
          <w:rFonts w:hint="default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的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政策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解读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" w:hAnsi="仿宋" w:eastAsia="仿宋" w:cs="宋体"/>
          <w:sz w:val="32"/>
          <w:szCs w:val="32"/>
        </w:rPr>
      </w:pPr>
    </w:p>
    <w:p>
      <w:pPr>
        <w:pStyle w:val="8"/>
        <w:spacing w:beforeLines="0" w:after="0" w:afterLines="0"/>
        <w:ind w:left="0" w:leftChars="0" w:firstLine="627" w:firstLineChars="196"/>
        <w:rPr>
          <w:rFonts w:hint="default" w:ascii="黑体" w:hAnsi="黑体" w:eastAsia="黑体" w:cs="??_GB2312"/>
          <w:sz w:val="32"/>
          <w:szCs w:val="32"/>
        </w:rPr>
      </w:pPr>
      <w:r>
        <w:rPr>
          <w:rFonts w:hint="eastAsia" w:ascii="黑体" w:hAnsi="黑体" w:eastAsia="黑体" w:cs="??_GB2312"/>
          <w:sz w:val="32"/>
          <w:szCs w:val="32"/>
        </w:rPr>
        <w:t>一、起草背景</w:t>
      </w:r>
    </w:p>
    <w:p>
      <w:pPr>
        <w:pStyle w:val="8"/>
        <w:spacing w:beforeLines="0" w:after="0" w:afterLines="0"/>
        <w:ind w:left="0" w:leftChars="0" w:firstLine="640" w:firstLineChars="200"/>
        <w:rPr>
          <w:rFonts w:hint="default" w:ascii="仿宋" w:hAnsi="仿宋" w:eastAsia="仿宋" w:cs="??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《双阳区生态环境保护</w:t>
      </w:r>
      <w:r>
        <w:rPr>
          <w:rFonts w:hint="eastAsia" w:ascii="仿宋" w:hAnsi="仿宋" w:eastAsia="仿宋" w:cs="??_GB2312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十四五</w:t>
      </w:r>
      <w:r>
        <w:rPr>
          <w:rFonts w:hint="eastAsia" w:ascii="仿宋" w:hAnsi="仿宋" w:eastAsia="仿宋" w:cs="??_GB2312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规划》主要是总结</w:t>
      </w:r>
      <w:r>
        <w:rPr>
          <w:rFonts w:hint="eastAsia" w:ascii="仿宋" w:hAnsi="仿宋" w:eastAsia="仿宋" w:cs="??_GB2312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十三五</w:t>
      </w:r>
      <w:r>
        <w:rPr>
          <w:rFonts w:hint="eastAsia" w:ascii="仿宋" w:hAnsi="仿宋" w:eastAsia="仿宋" w:cs="??_GB2312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期间全区生态环境保护工作的成效和经验，分析新形势下生态环境保护工作面临的机遇和挑战，阐明</w:t>
      </w:r>
      <w:r>
        <w:rPr>
          <w:rFonts w:hint="eastAsia" w:ascii="仿宋" w:hAnsi="仿宋" w:eastAsia="仿宋" w:cs="??_GB2312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十四五</w:t>
      </w:r>
      <w:r>
        <w:rPr>
          <w:rFonts w:hint="eastAsia" w:ascii="仿宋" w:hAnsi="仿宋" w:eastAsia="仿宋" w:cs="??_GB2312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期间全区生态环境保护的总体思路、发展目标、主要任务和重大举措，落实省、市</w:t>
      </w:r>
      <w:r>
        <w:rPr>
          <w:rFonts w:hint="eastAsia" w:ascii="仿宋" w:hAnsi="仿宋" w:eastAsia="仿宋" w:cs="??_GB2312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十四五</w:t>
      </w:r>
      <w:r>
        <w:rPr>
          <w:rFonts w:hint="eastAsia" w:ascii="仿宋" w:hAnsi="仿宋" w:eastAsia="仿宋" w:cs="??_GB2312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期间对生态环境保护工作提出的新要求，是指导全区开创生态环境保护工作新局面的重要依据。</w:t>
      </w:r>
    </w:p>
    <w:p>
      <w:pPr>
        <w:pStyle w:val="8"/>
        <w:spacing w:beforeLines="0" w:after="0" w:afterLines="0"/>
        <w:ind w:left="0" w:leftChars="0" w:firstLine="640" w:firstLineChars="200"/>
        <w:rPr>
          <w:rFonts w:hint="default" w:ascii="黑体" w:hAnsi="黑体" w:eastAsia="黑体" w:cs="??_GB2312"/>
          <w:sz w:val="32"/>
          <w:szCs w:val="32"/>
        </w:rPr>
      </w:pPr>
      <w:r>
        <w:rPr>
          <w:rFonts w:hint="eastAsia" w:ascii="黑体" w:hAnsi="黑体" w:eastAsia="黑体" w:cs="??_GB2312"/>
          <w:sz w:val="32"/>
          <w:szCs w:val="32"/>
        </w:rPr>
        <w:t>二、起草过程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??_GB2312"/>
          <w:sz w:val="32"/>
          <w:szCs w:val="32"/>
        </w:rPr>
        <w:t>2021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??_GB2312"/>
          <w:sz w:val="32"/>
          <w:szCs w:val="32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月，成立了双阳区生态环境保护规划编制工作领导小组。</w:t>
      </w:r>
      <w:r>
        <w:rPr>
          <w:rFonts w:hint="eastAsia" w:ascii="仿宋" w:hAnsi="仿宋" w:eastAsia="仿宋" w:cs="??_GB2312"/>
          <w:sz w:val="32"/>
          <w:szCs w:val="32"/>
        </w:rPr>
        <w:t>2022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??_GB2312"/>
          <w:sz w:val="32"/>
          <w:szCs w:val="32"/>
        </w:rPr>
        <w:t>10</w:t>
      </w:r>
      <w:r>
        <w:rPr>
          <w:rFonts w:hint="eastAsia" w:ascii="仿宋" w:hAnsi="仿宋" w:eastAsia="仿宋" w:cs="宋体"/>
          <w:sz w:val="32"/>
          <w:szCs w:val="32"/>
        </w:rPr>
        <w:t>月完成规划文本编制、公众参与、专家论证、风险评估、征求意见，通过合法性审查。202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sz w:val="32"/>
          <w:szCs w:val="32"/>
        </w:rPr>
        <w:t>日，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以长双府发[2023]8号文</w:t>
      </w:r>
      <w:r>
        <w:rPr>
          <w:rFonts w:hint="eastAsia" w:ascii="仿宋" w:hAnsi="仿宋" w:eastAsia="仿宋" w:cs="宋体"/>
          <w:sz w:val="32"/>
          <w:szCs w:val="32"/>
        </w:rPr>
        <w:t>，印发本《规划》。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黑体" w:hAnsi="黑体" w:eastAsia="黑体" w:cs="??_GB2312"/>
          <w:sz w:val="32"/>
          <w:szCs w:val="32"/>
        </w:rPr>
      </w:pPr>
      <w:r>
        <w:rPr>
          <w:rFonts w:hint="eastAsia" w:ascii="黑体" w:hAnsi="黑体" w:eastAsia="黑体" w:cs="??_GB2312"/>
          <w:sz w:val="32"/>
          <w:szCs w:val="32"/>
        </w:rPr>
        <w:t>三、主要内容</w:t>
      </w:r>
    </w:p>
    <w:p>
      <w:pPr>
        <w:pStyle w:val="8"/>
        <w:spacing w:beforeLines="0" w:after="0" w:afterLines="0"/>
        <w:ind w:left="0" w:leftChars="0" w:firstLine="640" w:firstLineChars="200"/>
        <w:rPr>
          <w:rFonts w:hint="default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以习近平新时代中国特色社会主义思想为主导，深入贯彻党的十九大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十九届历次全会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和二十大</w:t>
      </w:r>
      <w:r>
        <w:rPr>
          <w:rFonts w:hint="eastAsia" w:ascii="Times New Roman" w:hAnsi="Times New Roman" w:eastAsia="仿宋" w:cs="Times New Roman"/>
          <w:sz w:val="32"/>
          <w:szCs w:val="32"/>
        </w:rPr>
        <w:t>精神，全面贯彻习近平生态文明思想，全面落实习近平总书记关于东北振兴和视察吉林省的重要指示精神，紧扣省委“一主六双”高质量发展战略和建设生态强省的决策部署，认真落实市委“三强市三中心”目标和“六城联动”产业布局，科学把握新发展阶段，深入贯彻新发展理念，加快构建新发展格局，以生态文明建设为主线，以生态环境质量改善为核心，以精准治污、科学治污、依法治污为工作方针，以保障环境安全、维护群众健康为出发点和落脚点，以减污降碳协同治理为抓手，推进降碳、减污、扩绿、增长，</w:t>
      </w:r>
      <w:r>
        <w:rPr>
          <w:rFonts w:hint="eastAsia" w:ascii="Times New Roman" w:hAnsi="Times New Roman" w:eastAsia="仿宋"/>
          <w:sz w:val="32"/>
          <w:szCs w:val="32"/>
        </w:rPr>
        <w:t>从我区实际出发，深入开展清洁空气、清洁水体、清洁土壤等专项治理行动，严密防控环境风险，确保核与辐射安全；倡导绿色发展和低碳生活，全面提升生态文明建设水平，依据省、市上位规划要求，制定出台本规划，指导全区“十四五”时期生态环境保护工作。</w:t>
      </w:r>
    </w:p>
    <w:p>
      <w:pPr>
        <w:pStyle w:val="8"/>
        <w:spacing w:beforeLines="0" w:after="0" w:afterLines="0"/>
        <w:ind w:left="0" w:leftChars="0" w:firstLine="643" w:firstLineChars="200"/>
        <w:rPr>
          <w:rFonts w:hint="default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第一部分是“十三五”期间主要成效：</w:t>
      </w:r>
      <w:r>
        <w:rPr>
          <w:rFonts w:hint="eastAsia" w:ascii="Times New Roman" w:hAnsi="Times New Roman" w:eastAsia="仿宋"/>
          <w:sz w:val="32"/>
          <w:szCs w:val="32"/>
        </w:rPr>
        <w:t>全面总结回顾了我区生态环境保护各项工作取得的积极成效。</w:t>
      </w:r>
    </w:p>
    <w:p>
      <w:pPr>
        <w:pStyle w:val="8"/>
        <w:spacing w:beforeLines="0" w:after="0" w:afterLines="0"/>
        <w:ind w:left="0" w:leftChars="0" w:firstLine="643" w:firstLineChars="200"/>
        <w:rPr>
          <w:rFonts w:hint="default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第二部分是面临的挑战及发展机遇：</w:t>
      </w:r>
      <w:r>
        <w:rPr>
          <w:rFonts w:hint="eastAsia" w:ascii="Times New Roman" w:hAnsi="Times New Roman" w:eastAsia="仿宋"/>
          <w:sz w:val="32"/>
          <w:szCs w:val="32"/>
        </w:rPr>
        <w:t>主要是进行了“十四五”期间生态环境保护的形势研判，分析了目前生态环境保护工作中还存在的问题以及未来“十四五”期间面对的新机遇、新形势。</w:t>
      </w:r>
    </w:p>
    <w:p>
      <w:pPr>
        <w:pStyle w:val="8"/>
        <w:spacing w:beforeLines="0" w:after="0" w:afterLines="0"/>
        <w:ind w:left="0" w:leftChars="0" w:firstLine="643" w:firstLineChars="200"/>
        <w:rPr>
          <w:rFonts w:hint="default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第三部分是总体要求：</w:t>
      </w:r>
      <w:r>
        <w:rPr>
          <w:rFonts w:hint="eastAsia" w:ascii="Times New Roman" w:hAnsi="Times New Roman" w:eastAsia="仿宋"/>
          <w:sz w:val="32"/>
          <w:szCs w:val="32"/>
        </w:rPr>
        <w:t>主要是指出《规划》编制的指导思想、基本原则，明确《规划》的主要目标。</w:t>
      </w:r>
    </w:p>
    <w:p>
      <w:pPr>
        <w:spacing w:beforeLines="0" w:afterLines="0" w:line="360" w:lineRule="auto"/>
        <w:ind w:firstLine="643" w:firstLineChars="200"/>
        <w:jc w:val="left"/>
        <w:outlineLvl w:val="0"/>
        <w:rPr>
          <w:rFonts w:hint="default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第四部分是主要任务：</w:t>
      </w:r>
      <w:r>
        <w:rPr>
          <w:rFonts w:hint="eastAsia" w:ascii="Times New Roman" w:hAnsi="Times New Roman" w:eastAsia="仿宋"/>
          <w:sz w:val="32"/>
          <w:szCs w:val="32"/>
        </w:rPr>
        <w:t>持续推进产业结构调整；持续污染防治，改善环境空气质量；控排温室气体，积极应对气候变化；加强水生态治理，完善水生态修复；加强土壤生态环境保护与污染风险管控；改善农村生态环境；实施生态保护修复，维护区域生态安全；强化生态环境风险防控；开展全民行动，推动形成绿色生活方式等方面提出高水平保护的各项重点任务。</w:t>
      </w:r>
    </w:p>
    <w:p>
      <w:pPr>
        <w:spacing w:beforeLines="0" w:afterLines="0" w:line="360" w:lineRule="auto"/>
        <w:ind w:firstLine="643" w:firstLineChars="200"/>
        <w:jc w:val="left"/>
        <w:outlineLvl w:val="0"/>
        <w:rPr>
          <w:rFonts w:hint="default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第五部分是保障措施：</w:t>
      </w:r>
      <w:r>
        <w:rPr>
          <w:rFonts w:hint="eastAsia" w:ascii="Times New Roman" w:hAnsi="Times New Roman" w:eastAsia="仿宋"/>
          <w:sz w:val="32"/>
          <w:szCs w:val="32"/>
        </w:rPr>
        <w:t>明确《规划》落实过程中的有关措施，主要包括加强组织领导，创新投资方式，强化科技支撑，</w:t>
      </w:r>
      <w:r>
        <w:rPr>
          <w:rFonts w:hint="eastAsia" w:ascii="Times New Roman" w:hAnsi="Times New Roman" w:eastAsia="仿宋" w:cs="Times New Roman"/>
          <w:sz w:val="32"/>
          <w:szCs w:val="32"/>
        </w:rPr>
        <w:t>完善监测体系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严格评估考核，建立激励机制，广泛动员引导，完善社会共治。</w:t>
      </w:r>
    </w:p>
    <w:p>
      <w:pPr>
        <w:spacing w:beforeLines="0" w:afterLines="0" w:line="360" w:lineRule="auto"/>
        <w:ind w:firstLine="640" w:firstLineChars="200"/>
        <w:jc w:val="left"/>
        <w:outlineLvl w:val="0"/>
        <w:rPr>
          <w:rFonts w:hint="default" w:ascii="Times New Roman" w:hAnsi="Times New Roman" w:eastAsia="仿宋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"/>
          <w:sz w:val="32"/>
          <w:szCs w:val="32"/>
        </w:rPr>
        <w:t xml:space="preserve">                   </w:t>
      </w:r>
    </w:p>
    <w:p>
      <w:pPr>
        <w:pStyle w:val="8"/>
        <w:spacing w:beforeLines="0" w:afterLines="0"/>
        <w:ind w:firstLine="3680" w:firstLineChars="115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701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spacing w:beforeLines="0" w:afterLines="0"/>
      <w:rPr>
        <w:rStyle w:val="11"/>
        <w:rFonts w:hint="default"/>
        <w:sz w:val="18"/>
        <w:szCs w:val="18"/>
      </w:rPr>
    </w:pPr>
    <w:r>
      <w:rPr>
        <w:rStyle w:val="11"/>
        <w:rFonts w:hint="default"/>
        <w:sz w:val="18"/>
        <w:szCs w:val="18"/>
      </w:rPr>
      <w:fldChar w:fldCharType="begin"/>
    </w:r>
    <w:r>
      <w:rPr>
        <w:rStyle w:val="11"/>
        <w:rFonts w:hint="default"/>
        <w:sz w:val="18"/>
        <w:szCs w:val="18"/>
      </w:rPr>
      <w:instrText xml:space="preserve">PAGE  </w:instrText>
    </w:r>
    <w:r>
      <w:rPr>
        <w:rStyle w:val="11"/>
        <w:rFonts w:hint="default"/>
        <w:sz w:val="18"/>
        <w:szCs w:val="18"/>
      </w:rPr>
      <w:fldChar w:fldCharType="separate"/>
    </w:r>
    <w:r>
      <w:rPr>
        <w:rStyle w:val="11"/>
        <w:rFonts w:hint="default"/>
        <w:sz w:val="18"/>
        <w:szCs w:val="18"/>
        <w:lang/>
      </w:rPr>
      <w:t>1</w:t>
    </w:r>
    <w:r>
      <w:rPr>
        <w:rStyle w:val="11"/>
        <w:rFonts w:hint="default"/>
        <w:sz w:val="18"/>
        <w:szCs w:val="18"/>
        <w:lang/>
      </w:rPr>
      <w:fldChar w:fldCharType="end"/>
    </w:r>
  </w:p>
  <w:p>
    <w:pPr>
      <w:pStyle w:val="6"/>
      <w:spacing w:beforeLines="0" w:afterLines="0"/>
      <w:rPr>
        <w:rFonts w:hint="default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spacing w:beforeLines="0" w:afterLines="0"/>
      <w:rPr>
        <w:rStyle w:val="11"/>
        <w:rFonts w:hint="default"/>
        <w:sz w:val="18"/>
        <w:szCs w:val="18"/>
      </w:rPr>
    </w:pPr>
    <w:r>
      <w:rPr>
        <w:rStyle w:val="11"/>
        <w:rFonts w:hint="default"/>
        <w:sz w:val="18"/>
        <w:szCs w:val="18"/>
      </w:rPr>
      <w:fldChar w:fldCharType="begin"/>
    </w:r>
    <w:r>
      <w:rPr>
        <w:rStyle w:val="11"/>
        <w:rFonts w:hint="default"/>
        <w:sz w:val="18"/>
        <w:szCs w:val="18"/>
      </w:rPr>
      <w:instrText xml:space="preserve">PAGE  </w:instrText>
    </w:r>
    <w:r>
      <w:rPr>
        <w:rStyle w:val="11"/>
        <w:rFonts w:hint="default"/>
        <w:sz w:val="18"/>
        <w:szCs w:val="18"/>
      </w:rPr>
      <w:fldChar w:fldCharType="separate"/>
    </w:r>
    <w:r>
      <w:rPr>
        <w:rStyle w:val="11"/>
        <w:rFonts w:hint="default"/>
        <w:sz w:val="18"/>
        <w:szCs w:val="18"/>
      </w:rPr>
      <w:fldChar w:fldCharType="end"/>
    </w:r>
  </w:p>
  <w:p>
    <w:pPr>
      <w:pStyle w:val="6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jhhMGI5Yjc3OWI0NzY5YTNhNzEyMTcwM2U5YTYifQ=="/>
  </w:docVars>
  <w:rsids>
    <w:rsidRoot w:val="00172A27"/>
    <w:rsid w:val="12FB7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next w:val="2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99"/>
    <w:rPr>
      <w:rFonts w:hint="default"/>
      <w:sz w:val="24"/>
      <w:szCs w:val="24"/>
    </w:rPr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link w:val="12"/>
    <w:unhideWhenUsed/>
    <w:uiPriority w:val="99"/>
    <w:pPr>
      <w:widowControl/>
      <w:snapToGrid w:val="0"/>
      <w:spacing w:beforeLines="0" w:afterLines="0" w:line="300" w:lineRule="auto"/>
      <w:ind w:firstLine="561"/>
      <w:jc w:val="left"/>
    </w:pPr>
    <w:rPr>
      <w:rFonts w:hint="eastAsia"/>
      <w:sz w:val="18"/>
      <w:szCs w:val="18"/>
    </w:rPr>
  </w:style>
  <w:style w:type="paragraph" w:styleId="3">
    <w:name w:val="index 5"/>
    <w:basedOn w:val="1"/>
    <w:next w:val="1"/>
    <w:unhideWhenUsed/>
    <w:uiPriority w:val="99"/>
    <w:pPr>
      <w:spacing w:beforeLines="0" w:afterLines="0"/>
      <w:ind w:left="800" w:leftChars="800"/>
    </w:pPr>
    <w:rPr>
      <w:rFonts w:hint="eastAsia"/>
      <w:sz w:val="21"/>
      <w:szCs w:val="24"/>
    </w:rPr>
  </w:style>
  <w:style w:type="paragraph" w:styleId="4">
    <w:name w:val="annotation text"/>
    <w:basedOn w:val="1"/>
    <w:link w:val="13"/>
    <w:unhideWhenUsed/>
    <w:uiPriority w:val="99"/>
    <w:pPr>
      <w:spacing w:beforeLines="0" w:afterLines="0"/>
      <w:jc w:val="left"/>
    </w:pPr>
    <w:rPr>
      <w:rFonts w:hint="eastAsia"/>
      <w:sz w:val="21"/>
      <w:szCs w:val="24"/>
    </w:rPr>
  </w:style>
  <w:style w:type="paragraph" w:styleId="5">
    <w:name w:val="Body Text Indent"/>
    <w:basedOn w:val="1"/>
    <w:link w:val="14"/>
    <w:unhideWhenUsed/>
    <w:uiPriority w:val="99"/>
    <w:pPr>
      <w:spacing w:beforeLines="0" w:after="120" w:afterLines="0"/>
      <w:ind w:left="420" w:leftChars="200"/>
    </w:pPr>
    <w:rPr>
      <w:rFonts w:hint="eastAsia"/>
      <w:sz w:val="21"/>
      <w:szCs w:val="24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paragraph" w:styleId="8">
    <w:name w:val="Body Text First Indent 2"/>
    <w:basedOn w:val="5"/>
    <w:link w:val="17"/>
    <w:unhideWhenUsed/>
    <w:uiPriority w:val="99"/>
    <w:pPr>
      <w:adjustRightInd w:val="0"/>
      <w:snapToGrid w:val="0"/>
      <w:spacing w:beforeLines="0" w:afterLines="0" w:line="360" w:lineRule="auto"/>
      <w:ind w:firstLine="420"/>
    </w:pPr>
    <w:rPr>
      <w:rFonts w:hint="eastAsia" w:ascii="宋体" w:hAnsi="宋体"/>
      <w:sz w:val="24"/>
      <w:szCs w:val="24"/>
    </w:rPr>
  </w:style>
  <w:style w:type="character" w:styleId="11">
    <w:name w:val="page number"/>
    <w:basedOn w:val="10"/>
    <w:unhideWhenUsed/>
    <w:uiPriority w:val="99"/>
    <w:rPr>
      <w:rFonts w:hint="default" w:cs="Times New Roman"/>
      <w:sz w:val="24"/>
      <w:szCs w:val="24"/>
    </w:rPr>
  </w:style>
  <w:style w:type="character" w:customStyle="1" w:styleId="12">
    <w:name w:val="Footnote Text Char"/>
    <w:basedOn w:val="10"/>
    <w:link w:val="2"/>
    <w:unhideWhenUsed/>
    <w:locked/>
    <w:uiPriority w:val="99"/>
    <w:rPr>
      <w:rFonts w:hint="default" w:ascii="Calibri" w:cs="Calibri"/>
      <w:sz w:val="18"/>
      <w:szCs w:val="18"/>
    </w:rPr>
  </w:style>
  <w:style w:type="character" w:customStyle="1" w:styleId="13">
    <w:name w:val="Comment Text Char"/>
    <w:basedOn w:val="10"/>
    <w:link w:val="4"/>
    <w:unhideWhenUsed/>
    <w:locked/>
    <w:uiPriority w:val="99"/>
    <w:rPr>
      <w:rFonts w:hint="default" w:ascii="Calibri" w:cs="Calibri"/>
      <w:sz w:val="24"/>
      <w:szCs w:val="24"/>
    </w:rPr>
  </w:style>
  <w:style w:type="character" w:customStyle="1" w:styleId="14">
    <w:name w:val="Body Text Indent Char"/>
    <w:basedOn w:val="10"/>
    <w:link w:val="5"/>
    <w:unhideWhenUsed/>
    <w:locked/>
    <w:uiPriority w:val="99"/>
    <w:rPr>
      <w:rFonts w:hint="default" w:ascii="Calibri" w:cs="Calibri"/>
      <w:sz w:val="24"/>
      <w:szCs w:val="24"/>
    </w:rPr>
  </w:style>
  <w:style w:type="character" w:customStyle="1" w:styleId="15">
    <w:name w:val="Footer Char"/>
    <w:basedOn w:val="10"/>
    <w:link w:val="6"/>
    <w:unhideWhenUsed/>
    <w:locked/>
    <w:uiPriority w:val="99"/>
    <w:rPr>
      <w:rFonts w:hint="default" w:cs="Times New Roman"/>
      <w:kern w:val="2"/>
      <w:sz w:val="18"/>
      <w:szCs w:val="18"/>
    </w:rPr>
  </w:style>
  <w:style w:type="character" w:customStyle="1" w:styleId="16">
    <w:name w:val="Header Char"/>
    <w:basedOn w:val="10"/>
    <w:link w:val="7"/>
    <w:unhideWhenUsed/>
    <w:locked/>
    <w:uiPriority w:val="99"/>
    <w:rPr>
      <w:rFonts w:hint="default" w:cs="Times New Roman"/>
      <w:kern w:val="2"/>
      <w:sz w:val="18"/>
      <w:szCs w:val="18"/>
    </w:rPr>
  </w:style>
  <w:style w:type="character" w:customStyle="1" w:styleId="17">
    <w:name w:val="Body Text First Indent 2 Char"/>
    <w:basedOn w:val="14"/>
    <w:link w:val="8"/>
    <w:unhideWhenUsed/>
    <w:locked/>
    <w:uiPriority w:val="99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2023-11-02T05:57:03Z</dcterms:created>
  <dc:creator>Administrator</dc:creator>
  <cp:lastModifiedBy>昕</cp:lastModifiedBy>
  <dcterms:modified xsi:type="dcterms:W3CDTF">2023-11-02T06:13:03Z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7D4C7B2F57894C1394E8F33DE0269767_13</vt:lpwstr>
  </property>
</Properties>
</file>