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lang w:val="en-US" w:eastAsia="zh-CN"/>
        </w:rPr>
      </w:pPr>
      <w:bookmarkStart w:id="0" w:name="_GoBack"/>
      <w:bookmarkEnd w:id="0"/>
    </w:p>
    <w:p>
      <w:pPr>
        <w:jc w:val="center"/>
        <w:rPr>
          <w:sz w:val="36"/>
        </w:rPr>
      </w:pPr>
      <w:r>
        <w:rPr>
          <w:rFonts w:hint="eastAsia"/>
          <w:sz w:val="36"/>
        </w:rPr>
        <w:t>《关于开展城市乱象综合整治的通告》的解读</w:t>
      </w:r>
    </w:p>
    <w:p>
      <w:pPr>
        <w:jc w:val="center"/>
        <w:rPr>
          <w:sz w:val="36"/>
        </w:rPr>
      </w:pPr>
    </w:p>
    <w:p>
      <w:pPr>
        <w:rPr>
          <w:sz w:val="28"/>
        </w:rPr>
      </w:pPr>
      <w:r>
        <w:rPr>
          <w:rFonts w:hint="eastAsia"/>
          <w:sz w:val="28"/>
        </w:rPr>
        <w:t xml:space="preserve"> </w:t>
      </w:r>
      <w:r>
        <w:rPr>
          <w:sz w:val="28"/>
        </w:rPr>
        <w:t xml:space="preserve">   </w:t>
      </w:r>
      <w:r>
        <w:rPr>
          <w:rFonts w:hint="eastAsia"/>
          <w:sz w:val="28"/>
        </w:rPr>
        <w:t>为进一步加强城市管理，整顿城市风貌，提升城市形象，营造整洁、优美、文明、有序的城市环境，我区于2021年3月5日至3月9日期间，就《长春市双阳区人民政府关于开展城市乱象综合整治的通告》（征求意见稿）在区政府网站向社会公众及相关部门公开征求意见</w:t>
      </w:r>
      <w:r>
        <w:rPr>
          <w:rFonts w:hint="eastAsia"/>
          <w:sz w:val="28"/>
          <w:lang w:eastAsia="zh-CN"/>
        </w:rPr>
        <w:t>后，</w:t>
      </w:r>
      <w:r>
        <w:rPr>
          <w:rFonts w:hint="eastAsia"/>
          <w:sz w:val="28"/>
        </w:rPr>
        <w:t>区政府办公室印发了《长春市双阳区人民政府关于开展城市乱象综合整治的通告》（长双府通告[</w:t>
      </w:r>
      <w:r>
        <w:rPr>
          <w:sz w:val="28"/>
        </w:rPr>
        <w:t>2022]4</w:t>
      </w:r>
      <w:r>
        <w:rPr>
          <w:rFonts w:hint="eastAsia"/>
          <w:sz w:val="28"/>
        </w:rPr>
        <w:t>号）</w:t>
      </w:r>
    </w:p>
    <w:p>
      <w:pPr>
        <w:pStyle w:val="4"/>
        <w:numPr>
          <w:ilvl w:val="0"/>
          <w:numId w:val="1"/>
        </w:numPr>
        <w:ind w:firstLineChars="0"/>
        <w:rPr>
          <w:rFonts w:ascii="宋体" w:hAnsi="宋体" w:eastAsia="宋体"/>
          <w:sz w:val="28"/>
        </w:rPr>
      </w:pPr>
      <w:r>
        <w:rPr>
          <w:rFonts w:hint="eastAsia" w:ascii="宋体" w:hAnsi="宋体" w:eastAsia="宋体"/>
          <w:sz w:val="28"/>
        </w:rPr>
        <w:t>出台背景</w:t>
      </w:r>
    </w:p>
    <w:p>
      <w:pPr>
        <w:ind w:firstLine="560" w:firstLineChars="200"/>
        <w:rPr>
          <w:sz w:val="28"/>
        </w:rPr>
      </w:pPr>
      <w:r>
        <w:rPr>
          <w:rFonts w:hint="eastAsia"/>
          <w:sz w:val="28"/>
        </w:rPr>
        <w:t>城市风貌是城市管理的重要内容，是体现城市发展程度和文明程度的客观标志，直接反映了地方社会经济的发展水平。随着我区城市建设的不断扩大和经济发展水平的逐步提高，在城市管理过程中也出现了许多新情况、新问题，特别是违法乱建、广告乱贴、车辆乱停、垃圾乱扔等乱象，严重影响和制约着我区城市管理水平的提升。</w:t>
      </w:r>
    </w:p>
    <w:p>
      <w:pPr>
        <w:pStyle w:val="4"/>
        <w:numPr>
          <w:ilvl w:val="0"/>
          <w:numId w:val="1"/>
        </w:numPr>
        <w:ind w:firstLineChars="0"/>
        <w:rPr>
          <w:rFonts w:ascii="宋体" w:hAnsi="宋体" w:eastAsia="宋体"/>
          <w:sz w:val="28"/>
        </w:rPr>
      </w:pPr>
      <w:r>
        <w:rPr>
          <w:rFonts w:hint="eastAsia" w:ascii="宋体" w:hAnsi="宋体" w:eastAsia="宋体"/>
          <w:sz w:val="28"/>
        </w:rPr>
        <w:t>指导思想</w:t>
      </w:r>
    </w:p>
    <w:p>
      <w:pPr>
        <w:ind w:firstLine="560" w:firstLineChars="200"/>
        <w:rPr>
          <w:sz w:val="28"/>
        </w:rPr>
      </w:pPr>
      <w:r>
        <w:rPr>
          <w:rFonts w:hint="eastAsia"/>
          <w:sz w:val="28"/>
        </w:rPr>
        <w:t>坚持以习近平新时代中国特色社会主义思想为指导，深入贯彻落实党的十九大精神和习近平总书记关于城市管理工作的重要指示精神，以“创新、协调、绿色、开放、共享”五大发展理念为引领，牢固树立和强化“抓城市管理就是抓发展”的理念，全面提升城市管理的法治化、精细化、科学化水平，推动城市人民环境持续改善，打造干净、整洁、有序、清爽的城市新面貌。</w:t>
      </w:r>
    </w:p>
    <w:p>
      <w:pPr>
        <w:pStyle w:val="4"/>
        <w:numPr>
          <w:ilvl w:val="0"/>
          <w:numId w:val="1"/>
        </w:numPr>
        <w:ind w:firstLineChars="0"/>
        <w:rPr>
          <w:rFonts w:ascii="宋体" w:hAnsi="宋体" w:eastAsia="宋体"/>
          <w:sz w:val="28"/>
        </w:rPr>
      </w:pPr>
      <w:r>
        <w:rPr>
          <w:rFonts w:hint="eastAsia" w:ascii="宋体" w:hAnsi="宋体" w:eastAsia="宋体"/>
          <w:sz w:val="28"/>
        </w:rPr>
        <w:t>政策依据</w:t>
      </w:r>
    </w:p>
    <w:p>
      <w:pPr>
        <w:ind w:left="560"/>
        <w:rPr>
          <w:sz w:val="28"/>
        </w:rPr>
      </w:pPr>
      <w:r>
        <w:rPr>
          <w:rFonts w:hint="eastAsia"/>
          <w:sz w:val="28"/>
        </w:rPr>
        <w:t>《中华人民共和国城乡规划法》</w:t>
      </w:r>
    </w:p>
    <w:p>
      <w:pPr>
        <w:ind w:left="560"/>
        <w:rPr>
          <w:sz w:val="28"/>
        </w:rPr>
      </w:pPr>
      <w:r>
        <w:rPr>
          <w:rFonts w:hint="eastAsia"/>
          <w:sz w:val="28"/>
        </w:rPr>
        <w:t>《城市市容和环境卫生管理条例》</w:t>
      </w:r>
    </w:p>
    <w:p>
      <w:pPr>
        <w:ind w:left="560"/>
        <w:rPr>
          <w:sz w:val="28"/>
        </w:rPr>
      </w:pPr>
      <w:r>
        <w:rPr>
          <w:rFonts w:hint="eastAsia"/>
          <w:sz w:val="28"/>
        </w:rPr>
        <w:t>《吉林省城乡规划条例》</w:t>
      </w:r>
    </w:p>
    <w:p>
      <w:pPr>
        <w:ind w:left="560"/>
        <w:rPr>
          <w:sz w:val="28"/>
        </w:rPr>
      </w:pPr>
      <w:r>
        <w:rPr>
          <w:rFonts w:hint="eastAsia"/>
          <w:sz w:val="28"/>
        </w:rPr>
        <w:t>《长春市城乡规划条例》</w:t>
      </w:r>
    </w:p>
    <w:p>
      <w:pPr>
        <w:ind w:left="560"/>
        <w:rPr>
          <w:sz w:val="28"/>
        </w:rPr>
      </w:pPr>
      <w:r>
        <w:rPr>
          <w:rFonts w:hint="eastAsia"/>
          <w:sz w:val="28"/>
        </w:rPr>
        <w:t>《长春市市容和环境卫生管理条例》</w:t>
      </w:r>
    </w:p>
    <w:p>
      <w:pPr>
        <w:ind w:left="560"/>
        <w:rPr>
          <w:sz w:val="28"/>
        </w:rPr>
      </w:pPr>
      <w:r>
        <w:rPr>
          <w:rFonts w:hint="eastAsia"/>
          <w:sz w:val="28"/>
        </w:rPr>
        <w:t>《长春市机动车停车场管理条例》</w:t>
      </w:r>
    </w:p>
    <w:p>
      <w:pPr>
        <w:ind w:left="560"/>
        <w:rPr>
          <w:sz w:val="28"/>
        </w:rPr>
      </w:pPr>
      <w:r>
        <w:rPr>
          <w:rFonts w:hint="eastAsia"/>
          <w:sz w:val="28"/>
        </w:rPr>
        <w:t>《长春市道路交通安全管理条例》</w:t>
      </w:r>
    </w:p>
    <w:p>
      <w:pPr>
        <w:pStyle w:val="4"/>
        <w:numPr>
          <w:ilvl w:val="0"/>
          <w:numId w:val="1"/>
        </w:numPr>
        <w:ind w:firstLineChars="0"/>
        <w:rPr>
          <w:rFonts w:ascii="宋体" w:hAnsi="宋体" w:eastAsia="宋体"/>
          <w:sz w:val="28"/>
        </w:rPr>
      </w:pPr>
      <w:r>
        <w:rPr>
          <w:rFonts w:hint="eastAsia" w:ascii="宋体" w:hAnsi="宋体" w:eastAsia="宋体"/>
          <w:sz w:val="28"/>
          <w:lang w:val="en-US" w:eastAsia="zh-CN"/>
        </w:rPr>
        <w:t>群众关注的问题诠释</w:t>
      </w:r>
    </w:p>
    <w:p>
      <w:pPr>
        <w:ind w:left="560"/>
        <w:rPr>
          <w:rFonts w:hint="eastAsia" w:eastAsia="宋体"/>
          <w:sz w:val="28"/>
          <w:lang w:val="en-US" w:eastAsia="zh-CN"/>
        </w:rPr>
      </w:pPr>
      <w:r>
        <w:rPr>
          <w:rFonts w:hint="eastAsia"/>
          <w:sz w:val="28"/>
        </w:rPr>
        <w:t>（一）</w:t>
      </w:r>
      <w:r>
        <w:rPr>
          <w:rFonts w:hint="eastAsia"/>
          <w:sz w:val="28"/>
          <w:lang w:val="en-US" w:eastAsia="zh-CN"/>
        </w:rPr>
        <w:t>什么情况属于</w:t>
      </w:r>
      <w:r>
        <w:rPr>
          <w:rFonts w:hint="eastAsia"/>
          <w:sz w:val="28"/>
        </w:rPr>
        <w:t>违法乱建</w:t>
      </w:r>
      <w:r>
        <w:rPr>
          <w:rFonts w:hint="eastAsia"/>
          <w:sz w:val="28"/>
          <w:lang w:eastAsia="zh-CN"/>
        </w:rPr>
        <w:t>，</w:t>
      </w:r>
      <w:r>
        <w:rPr>
          <w:rFonts w:hint="eastAsia"/>
          <w:sz w:val="28"/>
          <w:lang w:val="en-US" w:eastAsia="zh-CN"/>
        </w:rPr>
        <w:t>如何处置</w:t>
      </w:r>
      <w:r>
        <w:rPr>
          <w:rFonts w:hint="eastAsia"/>
          <w:sz w:val="28"/>
        </w:rPr>
        <w:t>违法乱建</w:t>
      </w:r>
      <w:r>
        <w:rPr>
          <w:rFonts w:hint="eastAsia"/>
          <w:sz w:val="28"/>
          <w:lang w:eastAsia="zh-CN"/>
        </w:rPr>
        <w:t>？</w:t>
      </w:r>
    </w:p>
    <w:p>
      <w:pPr>
        <w:ind w:firstLine="560" w:firstLineChars="200"/>
        <w:rPr>
          <w:sz w:val="28"/>
        </w:rPr>
      </w:pPr>
      <w:r>
        <w:rPr>
          <w:rFonts w:hint="eastAsia"/>
          <w:sz w:val="28"/>
        </w:rPr>
        <w:t>1、政策内容：在未取得建筑工程规划许可证的情况下私搭乱建。</w:t>
      </w:r>
    </w:p>
    <w:p>
      <w:pPr>
        <w:ind w:firstLine="560" w:firstLineChars="200"/>
        <w:rPr>
          <w:rFonts w:hint="eastAsia"/>
          <w:sz w:val="28"/>
        </w:rPr>
      </w:pPr>
      <w:r>
        <w:rPr>
          <w:rFonts w:hint="eastAsia"/>
          <w:sz w:val="28"/>
        </w:rPr>
        <w:t>政策解读：依据《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以及《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的规定，未取得建设工程规划许可证的不允许在城市、镇规划区内进行工程建设。</w:t>
      </w:r>
    </w:p>
    <w:p>
      <w:pPr>
        <w:ind w:firstLine="560" w:firstLineChars="200"/>
        <w:rPr>
          <w:sz w:val="28"/>
        </w:rPr>
      </w:pPr>
      <w:r>
        <w:rPr>
          <w:rFonts w:hint="eastAsia"/>
          <w:sz w:val="28"/>
        </w:rPr>
        <w:t>2、政策内容：对已建成的影响城乡规划和市容管理的违法建（构）筑物予以拆除。</w:t>
      </w:r>
    </w:p>
    <w:p>
      <w:pPr>
        <w:ind w:firstLine="560" w:firstLineChars="200"/>
        <w:rPr>
          <w:rFonts w:hint="eastAsia"/>
          <w:sz w:val="28"/>
        </w:rPr>
      </w:pPr>
      <w:r>
        <w:rPr>
          <w:rFonts w:hint="eastAsia"/>
          <w:sz w:val="28"/>
        </w:rPr>
        <w:t>政策解读：依据《中华人民共和国城乡规划法》第六十四条、六十五条、六十六条、六十八条，《吉林省城乡规划条例》第三十六条、三十七条，《长春市城乡规划条例》第八十一条，《城市市容和环境卫生管理条例》第十条、十四条、三十六条，《长春市市容和环境卫生管理条例》第十七条、第二十六条等规定，对已经建成的影响城乡规划和市容管理的违法建（构）筑物应当予以拆除。</w:t>
      </w:r>
    </w:p>
    <w:p>
      <w:pPr>
        <w:ind w:left="560"/>
        <w:rPr>
          <w:rFonts w:hint="default" w:eastAsia="宋体"/>
          <w:sz w:val="28"/>
          <w:lang w:val="en-US" w:eastAsia="zh-CN"/>
        </w:rPr>
      </w:pPr>
      <w:r>
        <w:rPr>
          <w:rFonts w:hint="eastAsia"/>
          <w:sz w:val="28"/>
        </w:rPr>
        <w:t>（二）临街占道经营治理</w:t>
      </w:r>
      <w:r>
        <w:rPr>
          <w:rFonts w:hint="eastAsia"/>
          <w:sz w:val="28"/>
          <w:lang w:val="en-US" w:eastAsia="zh-CN"/>
        </w:rPr>
        <w:t>行为包括哪些？</w:t>
      </w:r>
    </w:p>
    <w:p>
      <w:pPr>
        <w:ind w:firstLine="560" w:firstLineChars="200"/>
        <w:rPr>
          <w:sz w:val="28"/>
        </w:rPr>
      </w:pPr>
      <w:r>
        <w:rPr>
          <w:rFonts w:hint="eastAsia"/>
          <w:sz w:val="28"/>
        </w:rPr>
        <w:t>政策内容：严禁临街商户店外占道销售、加工、洗车修车、对方商品杂物以及其他店外经营行为。</w:t>
      </w:r>
    </w:p>
    <w:p>
      <w:pPr>
        <w:ind w:firstLine="560" w:firstLineChars="200"/>
        <w:rPr>
          <w:rFonts w:hint="eastAsia"/>
          <w:sz w:val="28"/>
        </w:rPr>
      </w:pPr>
      <w:r>
        <w:rPr>
          <w:rFonts w:hint="eastAsia"/>
          <w:sz w:val="28"/>
        </w:rPr>
        <w:t>政策解读：依据《长春市市容和环境卫生管理条例》第二十一条，《长春市道路交通安全管理条例》第五条、十七条、三十三条的规定，任何单位和个人不得擅自占用道路、桥梁、地下通道及其他公共场所生产加工、摆设摊点、开办集市、维修清洗车辆、堆放物料，搭建建筑物、构筑物，违反上述情况的，市容和环境卫生主管部门有权依法予以处理。</w:t>
      </w:r>
    </w:p>
    <w:p>
      <w:pPr>
        <w:ind w:left="560"/>
        <w:rPr>
          <w:rFonts w:hint="eastAsia" w:eastAsia="宋体"/>
          <w:sz w:val="28"/>
          <w:lang w:eastAsia="zh-CN"/>
        </w:rPr>
      </w:pPr>
      <w:r>
        <w:rPr>
          <w:rFonts w:hint="eastAsia"/>
          <w:sz w:val="28"/>
        </w:rPr>
        <w:t>（三）</w:t>
      </w:r>
      <w:r>
        <w:rPr>
          <w:rFonts w:hint="eastAsia"/>
          <w:sz w:val="28"/>
          <w:lang w:val="en-US" w:eastAsia="zh-CN"/>
        </w:rPr>
        <w:t>那些行为属于</w:t>
      </w:r>
      <w:r>
        <w:rPr>
          <w:rFonts w:hint="eastAsia"/>
          <w:sz w:val="28"/>
        </w:rPr>
        <w:t>圈占公共空间</w:t>
      </w:r>
      <w:r>
        <w:rPr>
          <w:rFonts w:hint="eastAsia"/>
          <w:sz w:val="28"/>
          <w:lang w:eastAsia="zh-CN"/>
        </w:rPr>
        <w:t>？</w:t>
      </w:r>
    </w:p>
    <w:p>
      <w:pPr>
        <w:spacing w:line="560" w:lineRule="exact"/>
        <w:ind w:firstLine="560" w:firstLineChars="200"/>
        <w:rPr>
          <w:rFonts w:hint="eastAsia"/>
          <w:sz w:val="28"/>
        </w:rPr>
      </w:pPr>
      <w:r>
        <w:rPr>
          <w:rFonts w:hint="eastAsia"/>
          <w:sz w:val="28"/>
        </w:rPr>
        <w:t>政策内容：严禁圈占停车泊位等公共空间，对地桩、地锁、隔离墩、铁链等占用公共空间的障碍物一律清除。</w:t>
      </w:r>
    </w:p>
    <w:p>
      <w:pPr>
        <w:ind w:firstLine="560" w:firstLineChars="200"/>
        <w:rPr>
          <w:rFonts w:hint="eastAsia"/>
          <w:sz w:val="28"/>
        </w:rPr>
      </w:pPr>
      <w:r>
        <w:rPr>
          <w:rFonts w:hint="eastAsia"/>
          <w:sz w:val="28"/>
        </w:rPr>
        <w:t>政策解读：依据《长春市机动车停车场管理条例》第二十八条、三十二条，《长春市道路交通安全管理条例》第五条、十七条、三十三条的规定，违反上述情形的，市容和环境卫生主管部门有权依法予以处理。</w:t>
      </w:r>
    </w:p>
    <w:p>
      <w:pPr>
        <w:ind w:left="560"/>
        <w:rPr>
          <w:rFonts w:hint="default" w:eastAsia="宋体"/>
          <w:sz w:val="28"/>
          <w:lang w:val="en-US" w:eastAsia="zh-CN"/>
        </w:rPr>
      </w:pPr>
      <w:r>
        <w:rPr>
          <w:rFonts w:hint="eastAsia"/>
          <w:sz w:val="28"/>
        </w:rPr>
        <w:t>（四）开展车辆非法运营、乱停乱放治理</w:t>
      </w:r>
      <w:r>
        <w:rPr>
          <w:rFonts w:hint="eastAsia"/>
          <w:sz w:val="28"/>
          <w:lang w:val="en-US" w:eastAsia="zh-CN"/>
        </w:rPr>
        <w:t>主要针对哪些行为？</w:t>
      </w:r>
    </w:p>
    <w:p>
      <w:pPr>
        <w:ind w:firstLine="560" w:firstLineChars="200"/>
        <w:rPr>
          <w:sz w:val="28"/>
        </w:rPr>
      </w:pPr>
      <w:r>
        <w:rPr>
          <w:rFonts w:hint="eastAsia"/>
          <w:sz w:val="28"/>
        </w:rPr>
        <w:t>政策内容：依法对非法营运的三轮车、占用公共道路空间长期停放不移动或不使用的售货车、“僵尸车”、长期锁在电线杆上的手推车、报废自行车进行清理。</w:t>
      </w:r>
    </w:p>
    <w:p>
      <w:pPr>
        <w:ind w:firstLine="560" w:firstLineChars="200"/>
        <w:rPr>
          <w:rFonts w:hint="eastAsia"/>
          <w:sz w:val="28"/>
        </w:rPr>
      </w:pPr>
      <w:r>
        <w:rPr>
          <w:rFonts w:hint="eastAsia"/>
          <w:sz w:val="28"/>
        </w:rPr>
        <w:t>政策解读：依据《中华人民共和国道路运输条例》第八条、九条、五十六条、五十九条、八十九条、九十三条的规定，对擅自占用公告空间，侵占公共资源的情况予以整治。</w:t>
      </w:r>
    </w:p>
    <w:p>
      <w:pPr>
        <w:ind w:left="560"/>
        <w:rPr>
          <w:rFonts w:hint="default" w:eastAsia="宋体"/>
          <w:sz w:val="28"/>
          <w:lang w:val="en-US" w:eastAsia="zh-CN"/>
        </w:rPr>
      </w:pPr>
      <w:r>
        <w:rPr>
          <w:rFonts w:hint="eastAsia"/>
          <w:sz w:val="28"/>
        </w:rPr>
        <w:t>（五）开展露天经营乱象治理</w:t>
      </w:r>
      <w:r>
        <w:rPr>
          <w:rFonts w:hint="eastAsia"/>
          <w:sz w:val="28"/>
          <w:lang w:val="en-US" w:eastAsia="zh-CN"/>
        </w:rPr>
        <w:t>重点对象有哪些？</w:t>
      </w:r>
    </w:p>
    <w:p>
      <w:pPr>
        <w:spacing w:line="560" w:lineRule="exact"/>
        <w:ind w:firstLine="560" w:firstLineChars="200"/>
        <w:rPr>
          <w:sz w:val="28"/>
        </w:rPr>
      </w:pPr>
      <w:r>
        <w:rPr>
          <w:rFonts w:hint="eastAsia"/>
          <w:sz w:val="28"/>
        </w:rPr>
        <w:t>政策内容：严禁在城市道路、广场、公园、校园周边等公共场所从事露天烧烤、摆放地摊等活动；经营业户要严格执行入室经营，禁止在门前摆放烧烤炉具、餐桌及烧烤车等严重影响市容环境卫生的物品。</w:t>
      </w:r>
    </w:p>
    <w:p>
      <w:pPr>
        <w:spacing w:line="560" w:lineRule="exact"/>
        <w:ind w:firstLine="560" w:firstLineChars="200"/>
        <w:rPr>
          <w:sz w:val="28"/>
        </w:rPr>
      </w:pPr>
      <w:r>
        <w:rPr>
          <w:rFonts w:hint="eastAsia"/>
          <w:sz w:val="28"/>
        </w:rPr>
        <w:t>政策解读：依据《中华人民共和国大气污染防治法》第八十一条、《长春市市容和环境卫生管理条例》第二十一条等相关法律规定，市容和环境卫生主管部门有权对违反上述情形的单位及个人予以处理。</w:t>
      </w:r>
    </w:p>
    <w:p>
      <w:pPr>
        <w:ind w:left="560"/>
        <w:rPr>
          <w:rFonts w:hint="eastAsia" w:eastAsia="宋体"/>
          <w:sz w:val="28"/>
          <w:lang w:val="en-US" w:eastAsia="zh-CN"/>
        </w:rPr>
      </w:pPr>
      <w:r>
        <w:rPr>
          <w:rFonts w:hint="eastAsia"/>
          <w:sz w:val="28"/>
        </w:rPr>
        <w:t>（六）户外广告乱象</w:t>
      </w:r>
      <w:r>
        <w:rPr>
          <w:rFonts w:hint="eastAsia"/>
          <w:sz w:val="28"/>
          <w:lang w:val="en-US" w:eastAsia="zh-CN"/>
        </w:rPr>
        <w:t>指什么？</w:t>
      </w:r>
    </w:p>
    <w:p>
      <w:pPr>
        <w:pStyle w:val="5"/>
        <w:shd w:val="clear" w:color="auto" w:fill="FFFFFF"/>
        <w:spacing w:before="0" w:beforeAutospacing="0" w:after="0" w:afterAutospacing="0" w:line="420" w:lineRule="atLeast"/>
        <w:ind w:firstLine="560"/>
        <w:rPr>
          <w:sz w:val="28"/>
        </w:rPr>
      </w:pPr>
      <w:r>
        <w:rPr>
          <w:rFonts w:hint="eastAsia" w:cstheme="minorBidi"/>
          <w:kern w:val="2"/>
          <w:sz w:val="28"/>
        </w:rPr>
        <w:t>政策内容：</w:t>
      </w:r>
      <w:r>
        <w:rPr>
          <w:rFonts w:hint="eastAsia"/>
          <w:sz w:val="28"/>
        </w:rPr>
        <w:t>坚决打击各类违法广告行为，依法依规处理各类违法野广告。对影响市容、未经行政主管部门许可的各类牌匾、标识、条幅和其他宣传品等予以强制清除。</w:t>
      </w:r>
    </w:p>
    <w:p>
      <w:pPr>
        <w:spacing w:line="560" w:lineRule="exact"/>
        <w:ind w:firstLine="560" w:firstLineChars="200"/>
        <w:rPr>
          <w:rFonts w:hint="eastAsia"/>
          <w:sz w:val="28"/>
        </w:rPr>
      </w:pPr>
      <w:r>
        <w:rPr>
          <w:rFonts w:hint="eastAsia" w:cstheme="minorBidi"/>
          <w:kern w:val="2"/>
          <w:sz w:val="28"/>
        </w:rPr>
        <w:t>政策解读：依据《城市市容和环境卫生管理条例》第十一条、十七条、三十六条，《长春市市容和环境卫生管理条例》第二十七</w:t>
      </w:r>
      <w:r>
        <w:rPr>
          <w:rFonts w:hint="eastAsia"/>
          <w:sz w:val="28"/>
        </w:rPr>
        <w:t>条、二十八条、二十九条、三十条、三十二条等相关法律规定，市容和环境卫生主管部门有权对违反上述情形的单位及个人予以处理。</w:t>
      </w:r>
    </w:p>
    <w:p>
      <w:pPr>
        <w:autoSpaceDE w:val="0"/>
        <w:spacing w:line="560" w:lineRule="exact"/>
        <w:ind w:firstLine="640" w:firstLineChars="200"/>
        <w:rPr>
          <w:rFonts w:hint="eastAsia" w:ascii="仿宋" w:hAnsi="仿宋" w:eastAsia="仿宋"/>
          <w:color w:val="313131"/>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F2A4C"/>
    <w:multiLevelType w:val="multilevel"/>
    <w:tmpl w:val="714F2A4C"/>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hY2IwYWQ4YTg0M2I5ZWZhZmU5NDJmOGUyYTk0NTYifQ=="/>
  </w:docVars>
  <w:rsids>
    <w:rsidRoot w:val="003C4C1A"/>
    <w:rsid w:val="00037F22"/>
    <w:rsid w:val="0004420D"/>
    <w:rsid w:val="000A2071"/>
    <w:rsid w:val="00131886"/>
    <w:rsid w:val="00197339"/>
    <w:rsid w:val="001A6578"/>
    <w:rsid w:val="001D099B"/>
    <w:rsid w:val="00212C06"/>
    <w:rsid w:val="0024419D"/>
    <w:rsid w:val="002565B7"/>
    <w:rsid w:val="0027038C"/>
    <w:rsid w:val="002918FA"/>
    <w:rsid w:val="002A5824"/>
    <w:rsid w:val="002D0B26"/>
    <w:rsid w:val="00367E90"/>
    <w:rsid w:val="003B5CF7"/>
    <w:rsid w:val="003C4C1A"/>
    <w:rsid w:val="003C7B3D"/>
    <w:rsid w:val="003D03CE"/>
    <w:rsid w:val="004D1098"/>
    <w:rsid w:val="005B6598"/>
    <w:rsid w:val="005D09D4"/>
    <w:rsid w:val="005E5748"/>
    <w:rsid w:val="00605C7A"/>
    <w:rsid w:val="00686EA0"/>
    <w:rsid w:val="006E5404"/>
    <w:rsid w:val="00715401"/>
    <w:rsid w:val="00746CBC"/>
    <w:rsid w:val="007D1627"/>
    <w:rsid w:val="00974D88"/>
    <w:rsid w:val="00A47ADE"/>
    <w:rsid w:val="00A84C92"/>
    <w:rsid w:val="00AA3868"/>
    <w:rsid w:val="00AB7CB6"/>
    <w:rsid w:val="00AD4D36"/>
    <w:rsid w:val="00AF7013"/>
    <w:rsid w:val="00B05EBC"/>
    <w:rsid w:val="00B4594B"/>
    <w:rsid w:val="00B67BEA"/>
    <w:rsid w:val="00BC5554"/>
    <w:rsid w:val="00BF5558"/>
    <w:rsid w:val="00C52914"/>
    <w:rsid w:val="00CB48F9"/>
    <w:rsid w:val="00CC6632"/>
    <w:rsid w:val="00CE4771"/>
    <w:rsid w:val="00D26AF0"/>
    <w:rsid w:val="00D31B99"/>
    <w:rsid w:val="00D728B1"/>
    <w:rsid w:val="00D8181D"/>
    <w:rsid w:val="00DB6ADE"/>
    <w:rsid w:val="00DE1703"/>
    <w:rsid w:val="00E041DE"/>
    <w:rsid w:val="00E5472D"/>
    <w:rsid w:val="00EA2DA9"/>
    <w:rsid w:val="00ED5143"/>
    <w:rsid w:val="00F04B09"/>
    <w:rsid w:val="00F20E97"/>
    <w:rsid w:val="00F41CE9"/>
    <w:rsid w:val="00F47A06"/>
    <w:rsid w:val="00F772AB"/>
    <w:rsid w:val="00F774C6"/>
    <w:rsid w:val="00F81DB9"/>
    <w:rsid w:val="00FA59AB"/>
    <w:rsid w:val="00FA5E41"/>
    <w:rsid w:val="00FB68ED"/>
    <w:rsid w:val="10BD5255"/>
    <w:rsid w:val="20297D52"/>
    <w:rsid w:val="2BF3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paragraph" w:customStyle="1" w:styleId="5">
    <w:name w:val="through-content"/>
    <w:basedOn w:val="1"/>
    <w:qFormat/>
    <w:uiPriority w:val="0"/>
    <w:pPr>
      <w:spacing w:before="100" w:beforeAutospacing="1" w:after="100" w:afterAutospacing="1"/>
    </w:pPr>
  </w:style>
  <w:style w:type="character" w:customStyle="1" w:styleId="6">
    <w:name w:val="content"/>
    <w:basedOn w:val="3"/>
    <w:qFormat/>
    <w:uiPriority w:val="0"/>
  </w:style>
  <w:style w:type="character" w:customStyle="1" w:styleId="7">
    <w:name w:val="not-selection-area"/>
    <w:basedOn w:val="3"/>
    <w:uiPriority w:val="0"/>
  </w:style>
  <w:style w:type="character" w:customStyle="1" w:styleId="8">
    <w:name w:val="search-in-page-highlight-wrapper"/>
    <w:basedOn w:val="3"/>
    <w:qFormat/>
    <w:uiPriority w:val="0"/>
  </w:style>
  <w:style w:type="character" w:customStyle="1" w:styleId="9">
    <w:name w:val="search-in-page-highlight-item"/>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2191</Words>
  <Characters>2200</Characters>
  <Lines>14</Lines>
  <Paragraphs>4</Paragraphs>
  <TotalTime>1</TotalTime>
  <ScaleCrop>false</ScaleCrop>
  <LinksUpToDate>false</LinksUpToDate>
  <CharactersWithSpaces>2204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2022-05-11T00:32:00Z</dcterms:created>
  <dc:creator>Microsoft Office 用户</dc:creator>
  <cp:lastModifiedBy>Administrator</cp:lastModifiedBy>
  <dcterms:modified xsi:type="dcterms:W3CDTF">2022-05-18T00:48:56Z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F79FD6FD6FD7452D917B27679ED5B9D3</vt:lpwstr>
  </property>
</Properties>
</file>