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32E6E">
      <w:pPr>
        <w:jc w:val="center"/>
        <w:rPr>
          <w:rFonts w:asciiTheme="majorEastAsia" w:hAnsiTheme="majorEastAsia" w:eastAsiaTheme="majorEastAsia"/>
          <w:b/>
          <w:color w:val="FF0000"/>
          <w:sz w:val="84"/>
          <w:szCs w:val="84"/>
        </w:rPr>
      </w:pPr>
    </w:p>
    <w:p w14:paraId="171E7F01">
      <w:pPr>
        <w:jc w:val="center"/>
        <w:rPr>
          <w:rFonts w:asciiTheme="majorEastAsia" w:hAnsiTheme="majorEastAsia" w:eastAsiaTheme="majorEastAsia"/>
          <w:b/>
          <w:color w:val="FF0000"/>
          <w:sz w:val="84"/>
          <w:szCs w:val="84"/>
        </w:rPr>
      </w:pPr>
      <w:r>
        <w:rPr>
          <w:rFonts w:hint="eastAsia" w:asciiTheme="majorEastAsia" w:hAnsiTheme="majorEastAsia" w:eastAsiaTheme="majorEastAsia"/>
          <w:b/>
          <w:color w:val="FF0000"/>
          <w:sz w:val="84"/>
          <w:szCs w:val="84"/>
        </w:rPr>
        <w:t>定价成本监审报告</w:t>
      </w:r>
    </w:p>
    <w:p w14:paraId="38DDC370">
      <w:pPr>
        <w:rPr>
          <w:rFonts w:ascii="宋体" w:hAnsi="宋体"/>
          <w:sz w:val="36"/>
          <w:szCs w:val="36"/>
        </w:rPr>
      </w:pPr>
    </w:p>
    <w:p w14:paraId="1F640E99"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长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双发改</w:t>
      </w:r>
      <w:r>
        <w:rPr>
          <w:rFonts w:hint="eastAsia" w:asciiTheme="minorEastAsia" w:hAnsiTheme="minorEastAsia" w:eastAsiaTheme="minorEastAsia"/>
          <w:sz w:val="32"/>
          <w:szCs w:val="32"/>
        </w:rPr>
        <w:t>成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价</w:t>
      </w:r>
      <w:r>
        <w:rPr>
          <w:rFonts w:hint="eastAsia" w:asciiTheme="minorEastAsia" w:hAnsiTheme="minorEastAsia" w:eastAsiaTheme="minorEastAsia"/>
          <w:sz w:val="32"/>
          <w:szCs w:val="32"/>
        </w:rPr>
        <w:t>监字</w:t>
      </w:r>
      <w:r>
        <w:rPr>
          <w:rFonts w:hint="eastAsia" w:ascii="仿宋" w:hAnsi="仿宋" w:eastAsia="仿宋" w:cs="仿宋"/>
          <w:sz w:val="32"/>
          <w:lang w:eastAsia="zh-CN"/>
        </w:rPr>
        <w:t>[</w:t>
      </w:r>
      <w:r>
        <w:rPr>
          <w:rFonts w:hint="eastAsia" w:asciiTheme="minorEastAsia" w:hAnsiTheme="minorEastAsia" w:eastAsiaTheme="minorEastAsia"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25</w:t>
      </w:r>
      <w:r>
        <w:rPr>
          <w:rFonts w:hint="eastAsia" w:asciiTheme="minorEastAsia" w:hAnsiTheme="minorEastAsia" w:eastAsiaTheme="minorEastAsia"/>
          <w:sz w:val="32"/>
          <w:szCs w:val="32"/>
        </w:rPr>
        <w:t>]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 xml:space="preserve"> 1</w:t>
      </w:r>
      <w:r>
        <w:rPr>
          <w:rFonts w:hint="eastAsia" w:asciiTheme="minorEastAsia" w:hAnsiTheme="minorEastAsia" w:eastAsiaTheme="minorEastAsia"/>
          <w:sz w:val="32"/>
          <w:szCs w:val="32"/>
        </w:rPr>
        <w:t>号</w:t>
      </w:r>
    </w:p>
    <w:p w14:paraId="2B95821F">
      <w:pPr>
        <w:ind w:left="454" w:leftChars="147" w:hanging="160" w:hangingChars="50"/>
        <w:rPr>
          <w:rFonts w:ascii="宋体" w:hAnsi="宋体"/>
          <w:sz w:val="32"/>
          <w:szCs w:val="32"/>
        </w:rPr>
      </w:pPr>
      <w:r>
        <w:rPr>
          <w:rFonts w:ascii="宋体" w:hAnsi="宋体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24765</wp:posOffset>
                </wp:positionV>
                <wp:extent cx="6349365" cy="11430"/>
                <wp:effectExtent l="0" t="4445" r="1333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936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.7pt;margin-top:1.95pt;height:0.9pt;width:499.95pt;z-index:251659264;mso-width-relative:page;mso-height-relative:page;" filled="f" stroked="t" coordsize="21600,21600" o:gfxdata="UEsDBAoAAAAAAIdO4kAAAAAAAAAAAAAAAAAEAAAAZHJzL1BLAwQUAAAACACHTuJA+h9vYtcAAAAG&#10;AQAADwAAAGRycy9kb3ducmV2LnhtbE2OwU7DMBBE70j8g7VIXKrWSaEtCdn0gMQFiQNuK3F04yWJ&#10;Gq+j2G2Tv8ec6HE0ozev2I62ExcafOsYIV0kIIgrZ1quEfa79/kLCB80G905JoSJPGzL+7tC58Zd&#10;+YsuKtQiQtjnGqEJoc+l9FVDVvuF64lj9+MGq0OMQy3NoK8Rbju5TJK1tLrl+NDont4aqk7qbBFU&#10;oqePdH+YxlmYnXbf6lMd1gHx8SFNXkEEGsP/GP70ozqU0enozmy86BDmm+e4RHjKQMQ6y5YrEEeE&#10;1QZkWchb/fIXUEsDBBQAAAAIAIdO4kALD2L6+gEAAPcDAAAOAAAAZHJzL2Uyb0RvYy54bWytUzuO&#10;2zAQ7QPkDgT7WP7sGlnB8hbrOE2QLJBPPyYpiQB/4NCWfZZcI1WaHGevkSHlGJtN4yIqhOF83sx7&#10;HK7uj9awg4qovWv4bDLlTDnhpXZdw79+2b55yxkmcBKMd6rhJ4X8fv361WoItZr73hupIiMQh/UQ&#10;Gt6nFOqqQtErCzjxQTkKtj5aSHSMXSUjDIRuTTWfTpfV4KMM0QuFSN7NGORnxHgNoG9bLdTGi71V&#10;Lo2oURlIRAl7HZCvy7Rtq0T61LaoEjMNJ6ap/KkJ2bv8r9YrqLsIodfiPAJcM8ILTha0o6YXqA0k&#10;YPuo/4GyWkSPvk0T4W01EimKEIvZ9IU2n3sIqnAhqTFcRMf/Bys+Hh4j05I2gTMHli786fuPp5+/&#10;2DxrMwSsKeXBPcbzCcNjzESPbbSsNTp8y6XZQ2TYsSh7uiirjokJci4XN3eL5S1ngmKz2c2iKF+N&#10;MLk4REzvlbcsGw032mXiUMPhAyZqTal/UrLbODY0/O52niGBtrCl2yfTBmKCriu16I2WW21MrsDY&#10;7R5MZAegTdhup/RlgoT7V1pusgHsx7wSGnekVyDfOcnSKZBGjp4GzyNYJTkzil5StggQ6gTaXJNJ&#10;rY3LBars6ZlnVnzUOFs7L090P/sQddeTLrMyc47QPpTpz7ubF+75mezn73X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fb2LXAAAABgEAAA8AAAAAAAAAAQAgAAAAIgAAAGRycy9kb3ducmV2Lnht&#10;bFBLAQIUABQAAAAIAIdO4kALD2L6+gEAAPcDAAAOAAAAAAAAAAEAIAAAACYBAABkcnMvZTJvRG9j&#10;LnhtbFBLBQYAAAAABgAGAFkBAACS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3A92272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长春市成泰热力有限责任公司</w:t>
      </w:r>
    </w:p>
    <w:p w14:paraId="39B699C6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长春吉电热力有限公司</w:t>
      </w:r>
    </w:p>
    <w:p w14:paraId="767A2222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城镇</w:t>
      </w:r>
      <w:r>
        <w:rPr>
          <w:rFonts w:hint="eastAsia" w:ascii="黑体" w:hAnsi="黑体" w:eastAsia="黑体" w:cs="黑体"/>
          <w:sz w:val="44"/>
          <w:szCs w:val="44"/>
        </w:rPr>
        <w:t>供热定价成本监审报告</w:t>
      </w:r>
    </w:p>
    <w:p w14:paraId="6D304F43">
      <w:pPr>
        <w:spacing w:line="340" w:lineRule="atLeast"/>
        <w:rPr>
          <w:rFonts w:ascii="仿宋" w:hAnsi="仿宋" w:eastAsia="仿宋" w:cs="仿宋"/>
          <w:sz w:val="32"/>
        </w:rPr>
      </w:pPr>
    </w:p>
    <w:p w14:paraId="635FE7BE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根据《中华人民共和国价格法》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、</w:t>
      </w:r>
      <w:r>
        <w:rPr>
          <w:rFonts w:hint="eastAsia" w:ascii="仿宋" w:hAnsi="仿宋" w:eastAsia="仿宋" w:cs="仿宋"/>
          <w:kern w:val="13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政府制定价格成本监审办法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（国家发展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[2017]</w:t>
      </w:r>
      <w:r>
        <w:rPr>
          <w:rFonts w:hint="eastAsia" w:ascii="仿宋" w:hAnsi="仿宋" w:eastAsia="仿宋" w:cs="仿宋"/>
          <w:sz w:val="32"/>
          <w:szCs w:val="32"/>
        </w:rPr>
        <w:t>第8号），202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，我局委托吉林光大</w:t>
      </w:r>
      <w:r>
        <w:rPr>
          <w:rFonts w:hint="eastAsia" w:ascii="仿宋" w:hAnsi="仿宋" w:eastAsia="仿宋" w:cs="仿宋"/>
          <w:sz w:val="32"/>
          <w:szCs w:val="32"/>
        </w:rPr>
        <w:t>会计师事务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长春市成泰热力有限责任公司（以下简称：成泰热力）和长春吉电热力有限公司（以下简称：吉电热力）2户供热企业2022-2024年采暖期的供热</w:t>
      </w:r>
      <w:r>
        <w:rPr>
          <w:rFonts w:hint="eastAsia" w:ascii="仿宋" w:hAnsi="仿宋" w:eastAsia="仿宋" w:cs="仿宋"/>
          <w:sz w:val="32"/>
          <w:szCs w:val="32"/>
        </w:rPr>
        <w:t>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进行了审核。依据《专项审核报告》</w:t>
      </w:r>
      <w:r>
        <w:rPr>
          <w:rFonts w:hint="eastAsia" w:ascii="仿宋" w:hAnsi="仿宋" w:eastAsia="仿宋"/>
          <w:sz w:val="32"/>
          <w:szCs w:val="32"/>
          <w:lang w:eastAsia="zh-CN"/>
        </w:rPr>
        <w:t>（吉光审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字[2025]第468号）、</w:t>
      </w:r>
      <w:r>
        <w:rPr>
          <w:rFonts w:hint="eastAsia" w:ascii="仿宋" w:hAnsi="仿宋" w:eastAsia="仿宋"/>
          <w:sz w:val="32"/>
          <w:szCs w:val="32"/>
          <w:lang w:eastAsia="zh-CN"/>
        </w:rPr>
        <w:t>（吉光审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字[2025]第469号），现将成本监审具体情况</w:t>
      </w:r>
      <w:r>
        <w:rPr>
          <w:rFonts w:hint="eastAsia" w:ascii="仿宋" w:hAnsi="仿宋" w:eastAsia="仿宋" w:cs="仿宋"/>
          <w:sz w:val="32"/>
          <w:szCs w:val="32"/>
        </w:rPr>
        <w:t xml:space="preserve">综述如下： </w:t>
      </w:r>
    </w:p>
    <w:p w14:paraId="6219777C">
      <w:pPr>
        <w:numPr>
          <w:ilvl w:val="0"/>
          <w:numId w:val="1"/>
        </w:numPr>
        <w:spacing w:beforeLines="50" w:afterLines="50" w:line="540" w:lineRule="exact"/>
        <w:ind w:left="63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监审项目</w:t>
      </w:r>
    </w:p>
    <w:p w14:paraId="266BB5EF">
      <w:pPr>
        <w:spacing w:beforeLines="50" w:afterLines="50" w:line="540" w:lineRule="exact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成泰热力和吉电热力2022-2024年采暖期供热定价</w:t>
      </w:r>
      <w:r>
        <w:rPr>
          <w:rFonts w:hint="eastAsia" w:ascii="仿宋" w:hAnsi="仿宋" w:eastAsia="仿宋" w:cs="仿宋"/>
          <w:sz w:val="32"/>
          <w:szCs w:val="32"/>
        </w:rPr>
        <w:t>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A15640">
      <w:pPr>
        <w:numPr>
          <w:ilvl w:val="0"/>
          <w:numId w:val="2"/>
        </w:numPr>
        <w:spacing w:beforeLines="50" w:afterLines="50"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依据</w:t>
      </w:r>
    </w:p>
    <w:p w14:paraId="537C4A8A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《中华人民共和国价格法》；</w:t>
      </w:r>
    </w:p>
    <w:p w14:paraId="2EA8B31A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《政府制定价格成本监审办法》（国家发展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[2017]</w:t>
      </w:r>
      <w:r>
        <w:rPr>
          <w:rFonts w:hint="eastAsia" w:ascii="仿宋" w:hAnsi="仿宋" w:eastAsia="仿宋" w:cs="仿宋"/>
          <w:sz w:val="32"/>
          <w:szCs w:val="32"/>
        </w:rPr>
        <w:t>第8号）；</w:t>
      </w:r>
    </w:p>
    <w:p w14:paraId="75ABBB50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《吉林省政府制定价格成本监审引入第三方审核服务暂行办法》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（吉省价审〔2017〕251号）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16A449EF">
      <w:pPr>
        <w:spacing w:line="540" w:lineRule="exact"/>
        <w:ind w:firstLine="627" w:firstLineChars="196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《吉林省政府定价成本监审固定资产折旧技术操作规范（试行）》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（吉省价审〔201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〕2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27DCC76">
      <w:pPr>
        <w:spacing w:line="540" w:lineRule="exact"/>
        <w:ind w:firstLine="627" w:firstLineChars="196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《吉林省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城市供热定价成本监审办法</w:t>
      </w:r>
      <w:r>
        <w:rPr>
          <w:rFonts w:hint="eastAsia" w:ascii="仿宋" w:hAnsi="仿宋" w:eastAsia="仿宋" w:cs="仿宋"/>
          <w:sz w:val="32"/>
          <w:szCs w:val="32"/>
        </w:rPr>
        <w:t>（试行）》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（吉省价审〔201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237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2495C46">
      <w:pPr>
        <w:spacing w:line="54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《中华人民共和国会计法》；</w:t>
      </w:r>
    </w:p>
    <w:p w14:paraId="50764CEF">
      <w:pPr>
        <w:spacing w:line="54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会计制度》；</w:t>
      </w:r>
    </w:p>
    <w:p w14:paraId="4FDB3272">
      <w:pPr>
        <w:spacing w:line="540" w:lineRule="exact"/>
        <w:ind w:firstLine="627" w:firstLineChars="196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《企业会计准则》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B75732C">
      <w:pPr>
        <w:spacing w:line="540" w:lineRule="exact"/>
        <w:ind w:firstLine="627" w:firstLineChars="196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</w:t>
      </w:r>
      <w:r>
        <w:rPr>
          <w:rFonts w:hint="eastAsia" w:ascii="仿宋" w:hAnsi="仿宋" w:eastAsia="仿宋" w:cs="仿宋"/>
          <w:sz w:val="32"/>
          <w:szCs w:val="32"/>
        </w:rPr>
        <w:t>其他有关财务规定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A5606A">
      <w:pPr>
        <w:spacing w:line="540" w:lineRule="exact"/>
        <w:ind w:firstLine="627" w:firstLineChars="196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</w:t>
      </w:r>
      <w:r>
        <w:rPr>
          <w:rFonts w:hint="eastAsia" w:ascii="仿宋" w:hAnsi="仿宋" w:eastAsia="仿宋" w:cs="仿宋"/>
          <w:sz w:val="32"/>
          <w:szCs w:val="32"/>
        </w:rPr>
        <w:t>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</w:t>
      </w:r>
      <w:r>
        <w:rPr>
          <w:rFonts w:hint="eastAsia" w:ascii="仿宋" w:hAnsi="仿宋" w:eastAsia="仿宋" w:cs="仿宋"/>
          <w:sz w:val="32"/>
          <w:szCs w:val="32"/>
        </w:rPr>
        <w:t>审单位提供的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审计报告、财务报表等相关</w:t>
      </w:r>
      <w:r>
        <w:rPr>
          <w:rFonts w:hint="eastAsia" w:ascii="仿宋" w:hAnsi="仿宋" w:eastAsia="仿宋" w:cs="仿宋"/>
          <w:sz w:val="32"/>
          <w:szCs w:val="32"/>
        </w:rPr>
        <w:t>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5FA269A">
      <w:pPr>
        <w:spacing w:beforeLines="50" w:afterLines="50"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监审原则和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程序</w:t>
      </w:r>
    </w:p>
    <w:p w14:paraId="024E57C7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审核成泰热力、吉电热力城镇供热成本按照合法性、相关性、合理性、权责发生制原则，依据规定的程序进行。通过政府购买第三方服务方式，聘用吉林光大会计师事务有限公司负责本次成本审核工作，签订《成本审核服务合同》和《成本审核服务保密承诺书》，明确第三方审核服务工作目标和要求，审核依据、原则、方法和标准，对企业提供供热成本申报数据进行资料初审、实地审核，根据第三方提供的专项审核报告形成初步监审结论，意见告知，集体审议，出具成本监审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2E59DF1B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四、经营者基本情况</w:t>
      </w:r>
    </w:p>
    <w:p w14:paraId="7F4597C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长春市成泰热力有限责任公司于2006年4月28日成立，统一社会信用代码1220112785910492Y；住所：双阳区平湖街道办事处宋家村一社；法定代表人：谢利民；注册资本：壹亿贰千万元整。</w:t>
      </w:r>
    </w:p>
    <w:p w14:paraId="7AB1B4AF">
      <w:pPr>
        <w:spacing w:line="540" w:lineRule="exact"/>
        <w:ind w:firstLine="720"/>
        <w:jc w:val="both"/>
        <w:rPr>
          <w:rFonts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长春吉电热力有限公司于2014年11月5日成立，统一社会信用代码91220112310035081M；住所：长春市双阳区奢岭街道办事处长清公路21公里处；法定代表人：李宏岩；注册资本：玖仟叁佰叁拾伍万元整。</w:t>
      </w:r>
    </w:p>
    <w:p w14:paraId="62C6771D">
      <w:pPr>
        <w:tabs>
          <w:tab w:val="left" w:pos="570"/>
        </w:tabs>
        <w:spacing w:beforeLines="50" w:afterLines="50" w:line="54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五、经营者成本审核情况</w:t>
      </w:r>
    </w:p>
    <w:p w14:paraId="7A6A9DA9">
      <w:pPr>
        <w:numPr>
          <w:ilvl w:val="0"/>
          <w:numId w:val="3"/>
        </w:num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成本构成情况</w:t>
      </w:r>
    </w:p>
    <w:p w14:paraId="55465F6B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本次审核的供热定价成本由生产成本、管理费用、财务费用和税金及附加构成。</w:t>
      </w:r>
    </w:p>
    <w:p w14:paraId="211E2FEC">
      <w:pPr>
        <w:numPr>
          <w:ilvl w:val="0"/>
          <w:numId w:val="3"/>
        </w:num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成本调整情况</w:t>
      </w:r>
    </w:p>
    <w:p w14:paraId="7F61E71E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根据成本监审相关规定，我们核减了超出规定标准的维修费、职工薪酬、固定资产折旧、财务费用及与供热无关的费用等，从总成本中扣减了供热相关补贴收入。</w:t>
      </w:r>
    </w:p>
    <w:p w14:paraId="7F42D28A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成泰热力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供热企业2022年采暖期申报供热总成本为181,386,909.57元，核减供热总成本为28,877,856.85元，核定供热总成本为152,509,052.7元；</w:t>
      </w:r>
    </w:p>
    <w:p w14:paraId="5ED12718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2023年采暖期申报供热总成本为192,402,148.17元，核减供热总成本为37,974,977.02元，核定供热总成本为154,427,171.15元；</w:t>
      </w:r>
    </w:p>
    <w:p w14:paraId="5A6387AA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2024年采暖期申报供热总成本为183,743,889.1元，核减供热总成本为33,887,266.87元，核定供热总成本为149,856,622.2元。</w:t>
      </w:r>
    </w:p>
    <w:p w14:paraId="7E625BB1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吉电热力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供热企业2022年采暖期申报供热总成本为48,003,161.27元，核减供热总成本为22,321,992.56元，核定供热总成本为25,681,168.71元；</w:t>
      </w:r>
    </w:p>
    <w:p w14:paraId="0132E25A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2023年采暖期申报供热总成本为47,342,453.72元，核减供热总成本为25,663,099.51元，核定供热总成本为21,679,354.21元；</w:t>
      </w:r>
    </w:p>
    <w:p w14:paraId="5DA84D88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2024年采暖期申报供热总成本为41,139,728.57元，核减供热总成本为18,960,573.84元，核定供热总成本为22,179,154.73元。</w:t>
      </w:r>
    </w:p>
    <w:p w14:paraId="76CE503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（三）面积调整情况</w:t>
      </w:r>
    </w:p>
    <w:p w14:paraId="04665C3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将基本热费面积按照20%折算成开栓面积计入开栓总面积。</w:t>
      </w:r>
    </w:p>
    <w:p w14:paraId="322A3D81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成泰热力供热企业2022年采暖期开栓总面积为5,107,396.35平方米，核增开栓面积为256,381.6平方米，核定开栓总面积为5,363,777.95平方米；</w:t>
      </w:r>
    </w:p>
    <w:p w14:paraId="6E09D3FF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2023年采暖期开栓总面积为5,031,962.62平方米，核增开栓面积为345,485.3平方米，核定开栓总面积为5,377,447.92平方米；</w:t>
      </w:r>
    </w:p>
    <w:p w14:paraId="7A693B99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2024年采暖期开栓总面积为5,124,604.42平方米，核增开栓面积为343,732.10平方米，核定开栓总面积为5,468,336.52平方米。</w:t>
      </w:r>
    </w:p>
    <w:p w14:paraId="681570D6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吉电热力供热企业2022年采暖期开栓总面积为895,207.35平方米，核增开栓面积为48,920.00平方米，核定开栓总面积为944，127.35平方米；</w:t>
      </w:r>
    </w:p>
    <w:p w14:paraId="5EA6FE1C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2023年采暖期开栓总面积为725,590.75平方米，核增开栓面积为91,960.00平方米，核定开栓总面积为817,550.75平方米；</w:t>
      </w:r>
    </w:p>
    <w:p w14:paraId="4217E2EC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2024年采暖期开栓总面积为661,034.16平方米，核增开栓面积为97,380.00平方米，核定开栓总面积为758,414.16平方米。</w:t>
      </w:r>
    </w:p>
    <w:p w14:paraId="1B4F824E">
      <w:pPr>
        <w:spacing w:line="54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六、2022-2024年（2022.05.1-2025.04.30）采暖期供热成本监审结论</w:t>
      </w:r>
    </w:p>
    <w:p w14:paraId="0DA41545">
      <w:pPr>
        <w:spacing w:line="540" w:lineRule="exact"/>
        <w:ind w:firstLine="320" w:firstLineChars="1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成泰热力供热企业三年平均单位供热成本（含税）28.18元/㎡；</w:t>
      </w:r>
    </w:p>
    <w:p w14:paraId="05773375">
      <w:pPr>
        <w:spacing w:line="540" w:lineRule="exact"/>
        <w:ind w:firstLine="320" w:firstLineChars="1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成泰热力供热企业三年平均单位供热成本（不含税）26.49元/㎡；</w:t>
      </w:r>
    </w:p>
    <w:p w14:paraId="0E8C2CFD">
      <w:pPr>
        <w:spacing w:line="540" w:lineRule="exact"/>
        <w:ind w:firstLine="320" w:firstLineChars="1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吉电热力供热企业三年平均单位供热成本（含税）27.65元/㎡；</w:t>
      </w:r>
    </w:p>
    <w:p w14:paraId="14DF3004">
      <w:pPr>
        <w:spacing w:line="540" w:lineRule="exact"/>
        <w:ind w:firstLine="320" w:firstLineChars="1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吉电热力供热企业三年平均单位供热成本（不含税）27.05元/㎡。</w:t>
      </w:r>
    </w:p>
    <w:p w14:paraId="73F30C11"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七、供热成本核定表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（见附表）</w:t>
      </w:r>
    </w:p>
    <w:p w14:paraId="4816BE85">
      <w:pPr>
        <w:spacing w:beforeLines="50" w:afterLines="50"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八、其他需要说明的事项</w:t>
      </w:r>
    </w:p>
    <w:p w14:paraId="0347F3D5">
      <w:pPr>
        <w:tabs>
          <w:tab w:val="left" w:pos="7230"/>
        </w:tabs>
        <w:spacing w:line="540" w:lineRule="exact"/>
        <w:ind w:right="17"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（一）双阳区共有七家供热企业，成泰热力在网面积占城镇在网面积的93%，占全区在网面积的56.18%，因此成泰热力核算的单位供热成本具有代表性。</w:t>
      </w:r>
    </w:p>
    <w:p w14:paraId="4664BC37">
      <w:pPr>
        <w:tabs>
          <w:tab w:val="left" w:pos="7230"/>
        </w:tabs>
        <w:spacing w:line="540" w:lineRule="exact"/>
        <w:ind w:right="17"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（二）基本热费面积按照20%已折算计入开栓面积，每年采暖期平均增加开栓面积共394,619.7平方米，其中成泰热力增加开栓面积为315,199.7平方米，吉电热力增加开栓面积为79,420.00平方米。</w:t>
      </w:r>
    </w:p>
    <w:p w14:paraId="5730513F">
      <w:pPr>
        <w:widowControl w:val="0"/>
        <w:autoSpaceDE w:val="0"/>
        <w:autoSpaceDN w:val="0"/>
        <w:adjustRightIn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（三）本次核算的单位成本为居民和非居民的综合单位成本。</w:t>
      </w:r>
    </w:p>
    <w:p w14:paraId="3FD88A47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（四）被监审单位所提供相关成本资料的真实性、合法性、完整性由被监审单位负责。</w:t>
      </w:r>
    </w:p>
    <w:p w14:paraId="5F6DD7E6">
      <w:pPr>
        <w:widowControl w:val="0"/>
        <w:autoSpaceDE w:val="0"/>
        <w:autoSpaceDN w:val="0"/>
        <w:adjustRightInd w:val="0"/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（五）吉林光大</w:t>
      </w:r>
      <w:r>
        <w:rPr>
          <w:rFonts w:hint="eastAsia" w:ascii="仿宋" w:hAnsi="仿宋" w:eastAsia="仿宋" w:cs="仿宋"/>
          <w:sz w:val="32"/>
          <w:szCs w:val="32"/>
        </w:rPr>
        <w:t>会计师事务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有限公司对其所出具的《专项</w:t>
      </w:r>
      <w:r>
        <w:rPr>
          <w:rFonts w:hint="eastAsia" w:ascii="仿宋" w:hAnsi="仿宋" w:eastAsia="仿宋"/>
          <w:sz w:val="32"/>
          <w:szCs w:val="32"/>
          <w:lang w:eastAsia="zh-CN"/>
        </w:rPr>
        <w:t>审核报告》（吉光审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字[2025]第468号）、</w:t>
      </w:r>
      <w:r>
        <w:rPr>
          <w:rFonts w:hint="eastAsia" w:ascii="仿宋" w:hAnsi="仿宋" w:eastAsia="仿宋"/>
          <w:sz w:val="32"/>
          <w:szCs w:val="32"/>
          <w:lang w:eastAsia="zh-CN"/>
        </w:rPr>
        <w:t>（吉光审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字[2025]第469号）的真实性、合法性、完整性负责。</w:t>
      </w:r>
    </w:p>
    <w:p w14:paraId="081448B3">
      <w:pPr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（六）参加本次成本监审的工作人员与被监审单位无任何利害关系。</w:t>
      </w:r>
    </w:p>
    <w:p w14:paraId="36042C65">
      <w:pPr>
        <w:spacing w:line="54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（七）本报告仅为此次调整双阳区供热价格提供成本依据。其他任何单位和个人引用本报告内容，可能会出现由于核算指标等概念的不同形成误差，本报告制作单位不承担责任。</w:t>
      </w:r>
    </w:p>
    <w:p w14:paraId="794D53CC">
      <w:pPr>
        <w:spacing w:line="54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7BA2BE4F">
      <w:pPr>
        <w:spacing w:line="54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电话：84777826</w:t>
      </w:r>
    </w:p>
    <w:p w14:paraId="3C4BE5D8">
      <w:pPr>
        <w:spacing w:line="54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邮箱：ccsysty@163.com</w:t>
      </w:r>
    </w:p>
    <w:p w14:paraId="15BA8A96"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  <w:lang w:eastAsia="zh-CN"/>
        </w:rPr>
      </w:pPr>
    </w:p>
    <w:p w14:paraId="5EB530C1"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  <w:lang w:eastAsia="zh-CN"/>
        </w:rPr>
      </w:pPr>
    </w:p>
    <w:p w14:paraId="280604DD">
      <w:pPr>
        <w:spacing w:line="540" w:lineRule="exact"/>
        <w:ind w:firstLine="2880" w:firstLineChars="9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长春市双阳区发展和改革局</w:t>
      </w:r>
    </w:p>
    <w:p w14:paraId="1B5FD7DB">
      <w:pPr>
        <w:spacing w:line="540" w:lineRule="exact"/>
        <w:jc w:val="center"/>
        <w:rPr>
          <w:rFonts w:ascii="仿宋_GB2312" w:hAnsi="Arial Narrow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eastAsia="仿宋"/>
          <w:sz w:val="32"/>
          <w:szCs w:val="32"/>
          <w:lang w:eastAsia="zh-CN"/>
        </w:rPr>
        <w:t>2025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lang w:eastAsia="zh-CN"/>
        </w:rPr>
        <w:t>11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hint="eastAsia" w:eastAsia="仿宋"/>
          <w:sz w:val="32"/>
          <w:szCs w:val="32"/>
          <w:lang w:eastAsia="zh-CN"/>
        </w:rPr>
        <w:t>日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1454" w:tblpY="536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4"/>
        <w:gridCol w:w="1837"/>
        <w:gridCol w:w="1787"/>
        <w:gridCol w:w="1832"/>
      </w:tblGrid>
      <w:tr w14:paraId="56216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DBEE">
            <w:pPr>
              <w:spacing w:line="180" w:lineRule="exac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009AD0F2">
            <w:pPr>
              <w:spacing w:line="180" w:lineRule="exac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6A4E48E2">
            <w:pPr>
              <w:spacing w:line="180" w:lineRule="exac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附表1:</w:t>
            </w:r>
          </w:p>
          <w:p w14:paraId="5B6AC921">
            <w:pPr>
              <w:spacing w:line="180" w:lineRule="exac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2695C4D3">
            <w:pPr>
              <w:spacing w:line="180" w:lineRule="exact"/>
              <w:ind w:firstLine="2771" w:firstLineChars="115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城市供热成本核定表</w:t>
            </w:r>
          </w:p>
        </w:tc>
      </w:tr>
      <w:tr w14:paraId="00AD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0685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企业名称：长春市成泰热力有限责任公司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515A">
            <w:pPr>
              <w:spacing w:line="180" w:lineRule="exact"/>
              <w:jc w:val="right"/>
              <w:rPr>
                <w:rFonts w:ascii="仿宋" w:hAnsi="仿宋" w:eastAsia="仿宋" w:cs="仿宋"/>
                <w:b/>
                <w:bCs/>
                <w:color w:val="FF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2F03">
            <w:pPr>
              <w:spacing w:line="180" w:lineRule="exact"/>
              <w:jc w:val="right"/>
              <w:rPr>
                <w:rFonts w:ascii="仿宋" w:hAnsi="仿宋" w:eastAsia="仿宋" w:cs="仿宋"/>
                <w:b/>
                <w:bCs/>
                <w:color w:val="FF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21C7">
            <w:pPr>
              <w:spacing w:line="1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</w:tr>
      <w:tr w14:paraId="583D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0BB1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7F1D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2022-2023采暖期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F0B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2023-2024采暖期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D350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2024-2025采暖期</w:t>
            </w:r>
          </w:p>
        </w:tc>
      </w:tr>
      <w:tr w14:paraId="3D76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6C2D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一、供热面积(开栓面积）m²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67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5363777.95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422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5377447.92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6E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5468336.52 </w:t>
            </w:r>
          </w:p>
        </w:tc>
      </w:tr>
      <w:tr w14:paraId="1B18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5DF6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二、成本合计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4D0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152,509,052.71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F0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154,427,171.15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64D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149,856,622.20 </w:t>
            </w:r>
          </w:p>
        </w:tc>
      </w:tr>
      <w:tr w14:paraId="038E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032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    其中：变动成本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3E2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132,936,579.06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A55A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126,574,505.62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BE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117,755,519.26 </w:t>
            </w:r>
          </w:p>
        </w:tc>
      </w:tr>
      <w:tr w14:paraId="478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5763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          固定成本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347D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35,623,193.41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61C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39,343,333.96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7EA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39,837,107.11 </w:t>
            </w:r>
          </w:p>
        </w:tc>
      </w:tr>
      <w:tr w14:paraId="3D896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DDFF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（一）生产成本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1D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159,095,835.80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C65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153,817,285.48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F5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145,024,551.69 </w:t>
            </w:r>
          </w:p>
        </w:tc>
      </w:tr>
      <w:tr w14:paraId="7178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114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1、原煤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551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78,637,380.17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11C0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76,736,167.56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64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62,508,473.05 </w:t>
            </w:r>
          </w:p>
        </w:tc>
      </w:tr>
      <w:tr w14:paraId="1904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C9C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（1）原煤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F4A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70,809,180.74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EDC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71,719,602.71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C3DB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47,848,211.57 </w:t>
            </w:r>
          </w:p>
        </w:tc>
      </w:tr>
      <w:tr w14:paraId="759C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02ED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（2）煤进项税转出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E0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7,828,199.43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73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5,016,564.85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1F7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14,660,261.48 </w:t>
            </w:r>
          </w:p>
        </w:tc>
      </w:tr>
      <w:tr w14:paraId="6324F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6303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2、外购热源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F0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35,307,702.02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9BE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45,660,148.12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432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42,972,446.97 </w:t>
            </w:r>
          </w:p>
        </w:tc>
      </w:tr>
      <w:tr w14:paraId="591E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D297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（1）外购热源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1E8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35,307,702.02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90A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45,660,148.12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3F1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42,972,446.97 </w:t>
            </w:r>
          </w:p>
        </w:tc>
      </w:tr>
      <w:tr w14:paraId="1A77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B394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3、水费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E25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510,805.46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06E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928,049.97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452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849,787.50 </w:t>
            </w:r>
          </w:p>
        </w:tc>
      </w:tr>
      <w:tr w14:paraId="5E3AC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947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4、电费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7653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18,480,691.41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D290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3,250,139.97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0F3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11,424,811.74 </w:t>
            </w:r>
          </w:p>
        </w:tc>
      </w:tr>
      <w:tr w14:paraId="11BF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E9A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5、生产人员职工薪酬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2993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5,969,917.71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ED4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7,528,007.06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E34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7,462,757.40 </w:t>
            </w:r>
          </w:p>
        </w:tc>
      </w:tr>
      <w:tr w14:paraId="7461C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0419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6、折旧费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C34A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15,037,051.15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0CBA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14,387,448.81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53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14,230,238.73 </w:t>
            </w:r>
          </w:p>
        </w:tc>
      </w:tr>
      <w:tr w14:paraId="49E2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8963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7、材料费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301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728,811.67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8FA2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1,040,831.50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A7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842,185.66 </w:t>
            </w:r>
          </w:p>
        </w:tc>
      </w:tr>
      <w:tr w14:paraId="305F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588D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8、维修费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5E7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2,475,550.62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181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2,359,884.69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DFC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3,692,570.12 </w:t>
            </w:r>
          </w:p>
        </w:tc>
      </w:tr>
      <w:tr w14:paraId="6B08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E0B6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9、其他制造费用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703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1,947,925.59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582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1,926,607.80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E520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1,041,280.52 </w:t>
            </w:r>
          </w:p>
        </w:tc>
      </w:tr>
      <w:tr w14:paraId="3B90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054A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（二）期间费用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59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9,463,936.67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3F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12,100,554.10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A20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12,568,074.68 </w:t>
            </w:r>
          </w:p>
        </w:tc>
      </w:tr>
      <w:tr w14:paraId="012B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4D52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1、管理费用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91F1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6,912,846.19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C08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8,832,495.06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CD8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8,388,914.35 </w:t>
            </w:r>
          </w:p>
        </w:tc>
      </w:tr>
      <w:tr w14:paraId="52D7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BD4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（1）管理人员职工薪酬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CAA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2,530,496.28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DD3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3,529,096.03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C3B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3,743,996.21 </w:t>
            </w:r>
          </w:p>
        </w:tc>
      </w:tr>
      <w:tr w14:paraId="4E61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16F9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（2）折旧费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803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993,413.03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180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1,090,401.24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65A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1,084,135.97 </w:t>
            </w:r>
          </w:p>
        </w:tc>
      </w:tr>
      <w:tr w14:paraId="3B97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C80E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（3）修理费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77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227,889.91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E7A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145,636.82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8D3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113,502.27 </w:t>
            </w:r>
          </w:p>
        </w:tc>
      </w:tr>
      <w:tr w14:paraId="3AB7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7D2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（4）水电费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81C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20,923.47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18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27,879.16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84C0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32,793.40 </w:t>
            </w:r>
          </w:p>
        </w:tc>
      </w:tr>
      <w:tr w14:paraId="5BF4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0ED0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（5）业务招待费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68F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309,743.09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E5DF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237,930.27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990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182,637.87 </w:t>
            </w:r>
          </w:p>
        </w:tc>
      </w:tr>
      <w:tr w14:paraId="4177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44B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（6）其他费用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BC0B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2,830,380.41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C314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3,801,551.54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AB1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3,231,848.63 </w:t>
            </w:r>
          </w:p>
        </w:tc>
      </w:tr>
      <w:tr w14:paraId="05C2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B3BF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3、财务费用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F5B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2,551,090.48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3DAD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3,268,059.04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459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4,179,160.33 </w:t>
            </w:r>
          </w:p>
        </w:tc>
      </w:tr>
      <w:tr w14:paraId="43A1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F81B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（三）营业税金及附加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A7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91,182.69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FC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106,511.99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AC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222,546.19 </w:t>
            </w:r>
          </w:p>
        </w:tc>
      </w:tr>
      <w:tr w14:paraId="2FE1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B0FA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（四）扣除项目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C05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16,141,902.45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D9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11,597,180.42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5FF8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7,958,550.36 </w:t>
            </w:r>
          </w:p>
        </w:tc>
      </w:tr>
      <w:tr w14:paraId="1BD2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E79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1、财政供暖补贴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1A79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9,918,600.00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C96B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3,798,000.00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3856">
            <w:pPr>
              <w:spacing w:line="180" w:lineRule="exact"/>
              <w:jc w:val="righ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AE2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6F8B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2、其他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CBB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6,223,302.45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EFA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7,799,180.42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EA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7,958,550.36 </w:t>
            </w:r>
          </w:p>
        </w:tc>
      </w:tr>
      <w:tr w14:paraId="3134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9504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三、单位供热成本（含税）（元/㎡）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EFD2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28.43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F3D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28.72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1AE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27.40 </w:t>
            </w:r>
          </w:p>
        </w:tc>
      </w:tr>
      <w:tr w14:paraId="5570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C254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四、单位供热成本（不含税）（元/㎡）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EC6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26.97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F7C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27.78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2CB7">
            <w:pPr>
              <w:spacing w:line="18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24.72 </w:t>
            </w:r>
          </w:p>
        </w:tc>
      </w:tr>
      <w:tr w14:paraId="2781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8DE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五、三年平均单位供热成本（含税）（元/㎡）</w:t>
            </w:r>
          </w:p>
        </w:tc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7E35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28.18</w:t>
            </w:r>
          </w:p>
        </w:tc>
      </w:tr>
      <w:tr w14:paraId="3E46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B501">
            <w:pPr>
              <w:spacing w:line="180" w:lineRule="exac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六、三年平均单位供热成本（不含税）（元/㎡）</w:t>
            </w:r>
          </w:p>
        </w:tc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38A0">
            <w:pPr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26.49</w:t>
            </w:r>
          </w:p>
        </w:tc>
      </w:tr>
    </w:tbl>
    <w:tbl>
      <w:tblPr>
        <w:tblStyle w:val="12"/>
        <w:tblpPr w:leftFromText="180" w:rightFromText="180" w:vertAnchor="text" w:horzAnchor="page" w:tblpX="1521" w:tblpY="583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854"/>
        <w:gridCol w:w="1854"/>
        <w:gridCol w:w="1820"/>
      </w:tblGrid>
      <w:tr w14:paraId="3AD5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8922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F7A829C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951D57D"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附件2：</w:t>
            </w:r>
          </w:p>
          <w:p w14:paraId="4041B8C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城市供热成本核定表</w:t>
            </w:r>
          </w:p>
        </w:tc>
      </w:tr>
      <w:tr w14:paraId="6FCE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69BE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企业名称：长春吉电热力有限公司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EBE3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79A91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B37F"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 w14:paraId="3E99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628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FB5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2022-2023采暖期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FA5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2023-2024采暖期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9B6D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2024-2025采暖期</w:t>
            </w:r>
          </w:p>
        </w:tc>
      </w:tr>
      <w:tr w14:paraId="33ED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9681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一、供热面积(开栓面积）m²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887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944,127.35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2D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817,550.75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7E1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758,414.16</w:t>
            </w:r>
          </w:p>
        </w:tc>
      </w:tr>
      <w:tr w14:paraId="1772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F5E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二、成本合计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C79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25,681,168.71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1F2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21,679,354.21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2E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22,179,154.73</w:t>
            </w:r>
          </w:p>
        </w:tc>
      </w:tr>
      <w:tr w14:paraId="5F50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3B57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    其中：变动成本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B02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17,589,156.23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078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14,943,428.78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061D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15,185,632.25</w:t>
            </w:r>
          </w:p>
        </w:tc>
      </w:tr>
      <w:tr w14:paraId="490D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77B0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          固定成本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6BD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9,505,800.00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6A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8,016,656.37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02C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8,348,027.76</w:t>
            </w:r>
          </w:p>
        </w:tc>
      </w:tr>
      <w:tr w14:paraId="0502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8ED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（一）生产成本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4CF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24,073,924.21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E50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20,315,244.93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AA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21,151,956.17</w:t>
            </w:r>
          </w:p>
        </w:tc>
      </w:tr>
      <w:tr w14:paraId="6BC1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5855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2、外购热源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F9E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17,052,719.27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471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14,263,627.86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F6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14,332,537.66</w:t>
            </w:r>
          </w:p>
        </w:tc>
      </w:tr>
      <w:tr w14:paraId="2706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AB9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（1）外购热源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DDA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16,514,085.63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36A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13,763,358.09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60B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13,851,053.81</w:t>
            </w:r>
          </w:p>
        </w:tc>
      </w:tr>
      <w:tr w14:paraId="5542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B430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（2）进项税转出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982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538,633.64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6F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500,269.77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F02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481,483.84</w:t>
            </w:r>
          </w:p>
        </w:tc>
      </w:tr>
      <w:tr w14:paraId="7B09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A4B0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3、水费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C50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141,997.61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A81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130,203.59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383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196,331.02</w:t>
            </w:r>
          </w:p>
        </w:tc>
      </w:tr>
      <w:tr w14:paraId="2851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7854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4、电费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8E2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394,439.35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734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549,597.32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7E7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656,763.57</w:t>
            </w:r>
          </w:p>
        </w:tc>
      </w:tr>
      <w:tr w14:paraId="07A2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D53F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5、生产人员职工薪酬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6C5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2,628,206.08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0D2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1,534,958.27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074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1,808,137.59</w:t>
            </w:r>
          </w:p>
        </w:tc>
      </w:tr>
      <w:tr w14:paraId="1A9F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ABC7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6、折旧费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E6C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2,768,816.09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B3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2,611,343.93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18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2,903,423.58</w:t>
            </w:r>
          </w:p>
        </w:tc>
      </w:tr>
      <w:tr w14:paraId="1272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ED0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7、材料费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BF5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139,353.44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63E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192,104.76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A2F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240,276.52</w:t>
            </w:r>
          </w:p>
        </w:tc>
      </w:tr>
      <w:tr w14:paraId="2380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898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8、维修费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5A6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310,440.67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6F9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264,006.96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776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185,189.38</w:t>
            </w:r>
          </w:p>
        </w:tc>
      </w:tr>
      <w:tr w14:paraId="7B59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B2F8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9、其他制造费用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86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637,951.70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206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769,402.25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823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829,296.86</w:t>
            </w:r>
          </w:p>
        </w:tc>
      </w:tr>
      <w:tr w14:paraId="1D05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12F1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（二）期间费用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AC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3,021,032.02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0D5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2,644,840.21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1F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2,381,703.83</w:t>
            </w:r>
          </w:p>
        </w:tc>
      </w:tr>
      <w:tr w14:paraId="5E29D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014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1、管理费用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E4E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3C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9A3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2953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45E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（1）管理人员职工薪酬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1886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18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724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1358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05A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（2）折旧费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DCDD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566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14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2398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71B0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（3）修理费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D9FA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B7C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89A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1089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D26B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（4）水电费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9B60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34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F8D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4481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E47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（5）业务招待费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2580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295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12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40A0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6EFC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（6）其他费用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93BB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5E6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2C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07A5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D04F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2、销售费用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EADE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7E0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42E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13B5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6758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3、财务费用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D2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3,021,032.02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391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2,644,840.21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031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2,381,703.83</w:t>
            </w:r>
          </w:p>
        </w:tc>
      </w:tr>
      <w:tr w14:paraId="77A1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7D69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（三）营业税金及附加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78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63,266.20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2C4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48,139.95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45C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51,058.98</w:t>
            </w:r>
          </w:p>
        </w:tc>
      </w:tr>
      <w:tr w14:paraId="048B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9F3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（四）扣除项目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08F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1,477,053.72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663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1,328,870.88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F0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1,405,564.25</w:t>
            </w:r>
          </w:p>
        </w:tc>
      </w:tr>
      <w:tr w14:paraId="686D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FA17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1、财政供暖补贴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982C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BDB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77A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0.00</w:t>
            </w:r>
          </w:p>
        </w:tc>
      </w:tr>
      <w:tr w14:paraId="1F24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284B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2、其他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496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1,477,053.72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D88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1,328,870.88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940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1,405,564.25</w:t>
            </w:r>
          </w:p>
        </w:tc>
      </w:tr>
      <w:tr w14:paraId="585D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EC2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三、单位供热成本（含税）（元/㎡）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4DF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27.20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E50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26.52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8A6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29.24</w:t>
            </w:r>
          </w:p>
        </w:tc>
      </w:tr>
      <w:tr w14:paraId="4999A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6A4B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四、单位供热成本（不含税）（元/㎡）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1B5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26.63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D23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25.91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0DA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28.61</w:t>
            </w:r>
          </w:p>
        </w:tc>
      </w:tr>
      <w:tr w14:paraId="4486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867D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五、三年平均单位供热成本（含税）（元/㎡）</w:t>
            </w:r>
          </w:p>
        </w:tc>
        <w:tc>
          <w:tcPr>
            <w:tcW w:w="5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E2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27.65</w:t>
            </w:r>
          </w:p>
        </w:tc>
      </w:tr>
      <w:tr w14:paraId="0CE1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7AD"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六、三年平均单位供热成本（不含税）（元/㎡）</w:t>
            </w:r>
          </w:p>
        </w:tc>
        <w:tc>
          <w:tcPr>
            <w:tcW w:w="5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F1C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27.05</w:t>
            </w:r>
          </w:p>
        </w:tc>
      </w:tr>
    </w:tbl>
    <w:p w14:paraId="6E6176F4">
      <w:pPr>
        <w:rPr>
          <w:rFonts w:ascii="仿宋_GB2312" w:hAnsi="Arial Narrow" w:eastAsia="仿宋_GB2312" w:cs="仿宋_GB2312"/>
          <w:color w:val="000000"/>
          <w:sz w:val="24"/>
          <w:szCs w:val="24"/>
          <w:lang w:eastAsia="zh-CN"/>
        </w:rPr>
      </w:pPr>
    </w:p>
    <w:sectPr>
      <w:footerReference r:id="rId3" w:type="default"/>
      <w:pgSz w:w="11907" w:h="16840"/>
      <w:pgMar w:top="1440" w:right="1800" w:bottom="1440" w:left="1800" w:header="1440" w:footer="720" w:gutter="0"/>
      <w:cols w:space="0" w:num="1"/>
      <w:docGrid w:type="lines" w:linePitch="2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7DB5">
    <w:pP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94AF"/>
    <w:multiLevelType w:val="singleLevel"/>
    <w:tmpl w:val="C06694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7F3FF3"/>
    <w:multiLevelType w:val="singleLevel"/>
    <w:tmpl w:val="0F7F3F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4994AA8"/>
    <w:multiLevelType w:val="multilevel"/>
    <w:tmpl w:val="54994AA8"/>
    <w:lvl w:ilvl="0" w:tentative="0">
      <w:start w:val="2"/>
      <w:numFmt w:val="japaneseCounting"/>
      <w:lvlText w:val="%1、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138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2NiYzZjODhkMjA1MDYxOWIwYmM1ZWU0OGNjZWIifQ=="/>
  </w:docVars>
  <w:rsids>
    <w:rsidRoot w:val="00172A27"/>
    <w:rsid w:val="0000318F"/>
    <w:rsid w:val="0000446B"/>
    <w:rsid w:val="00004E81"/>
    <w:rsid w:val="0000771A"/>
    <w:rsid w:val="0001787D"/>
    <w:rsid w:val="00024B95"/>
    <w:rsid w:val="00024CCA"/>
    <w:rsid w:val="000276B2"/>
    <w:rsid w:val="00027D70"/>
    <w:rsid w:val="00027EB2"/>
    <w:rsid w:val="00030095"/>
    <w:rsid w:val="000307AB"/>
    <w:rsid w:val="000331BB"/>
    <w:rsid w:val="0004086F"/>
    <w:rsid w:val="0004473F"/>
    <w:rsid w:val="000509BC"/>
    <w:rsid w:val="00054AFE"/>
    <w:rsid w:val="00055EB3"/>
    <w:rsid w:val="0006213B"/>
    <w:rsid w:val="000638A2"/>
    <w:rsid w:val="00072985"/>
    <w:rsid w:val="00075568"/>
    <w:rsid w:val="00081838"/>
    <w:rsid w:val="00082E33"/>
    <w:rsid w:val="00084AF2"/>
    <w:rsid w:val="00087295"/>
    <w:rsid w:val="00092A0C"/>
    <w:rsid w:val="00094134"/>
    <w:rsid w:val="00094C6A"/>
    <w:rsid w:val="000A0653"/>
    <w:rsid w:val="000A5785"/>
    <w:rsid w:val="000A5BCC"/>
    <w:rsid w:val="000A70DE"/>
    <w:rsid w:val="000A7A82"/>
    <w:rsid w:val="000B6551"/>
    <w:rsid w:val="000B6C51"/>
    <w:rsid w:val="000B73EF"/>
    <w:rsid w:val="000C0E21"/>
    <w:rsid w:val="000C6EDF"/>
    <w:rsid w:val="000D05EE"/>
    <w:rsid w:val="000D0E18"/>
    <w:rsid w:val="000D418B"/>
    <w:rsid w:val="000D6AA8"/>
    <w:rsid w:val="000D7427"/>
    <w:rsid w:val="000E1CA6"/>
    <w:rsid w:val="000E30D5"/>
    <w:rsid w:val="000E52CF"/>
    <w:rsid w:val="000E70CE"/>
    <w:rsid w:val="000E7B45"/>
    <w:rsid w:val="000F6973"/>
    <w:rsid w:val="00101C5E"/>
    <w:rsid w:val="00103141"/>
    <w:rsid w:val="0010487B"/>
    <w:rsid w:val="00104C13"/>
    <w:rsid w:val="00106A89"/>
    <w:rsid w:val="00106F2A"/>
    <w:rsid w:val="00111065"/>
    <w:rsid w:val="0011158E"/>
    <w:rsid w:val="00111D75"/>
    <w:rsid w:val="00114839"/>
    <w:rsid w:val="00114D90"/>
    <w:rsid w:val="00114E83"/>
    <w:rsid w:val="00127373"/>
    <w:rsid w:val="00127DFC"/>
    <w:rsid w:val="0013077D"/>
    <w:rsid w:val="00133BD1"/>
    <w:rsid w:val="00134F2F"/>
    <w:rsid w:val="001366A5"/>
    <w:rsid w:val="00140261"/>
    <w:rsid w:val="00141F26"/>
    <w:rsid w:val="00154273"/>
    <w:rsid w:val="001566E4"/>
    <w:rsid w:val="00157252"/>
    <w:rsid w:val="00160D8C"/>
    <w:rsid w:val="00162412"/>
    <w:rsid w:val="00163818"/>
    <w:rsid w:val="00165F36"/>
    <w:rsid w:val="00172014"/>
    <w:rsid w:val="00172A27"/>
    <w:rsid w:val="00174432"/>
    <w:rsid w:val="001759BF"/>
    <w:rsid w:val="00181619"/>
    <w:rsid w:val="00185C99"/>
    <w:rsid w:val="0018746B"/>
    <w:rsid w:val="00191890"/>
    <w:rsid w:val="00195EBA"/>
    <w:rsid w:val="001A0A6D"/>
    <w:rsid w:val="001B0F25"/>
    <w:rsid w:val="001C27C0"/>
    <w:rsid w:val="001C5D78"/>
    <w:rsid w:val="001D0E94"/>
    <w:rsid w:val="001D13F1"/>
    <w:rsid w:val="001D6668"/>
    <w:rsid w:val="001E0782"/>
    <w:rsid w:val="001E089B"/>
    <w:rsid w:val="001E252E"/>
    <w:rsid w:val="001E387A"/>
    <w:rsid w:val="001E3FDA"/>
    <w:rsid w:val="001E607A"/>
    <w:rsid w:val="001F01D3"/>
    <w:rsid w:val="001F48C4"/>
    <w:rsid w:val="0020040D"/>
    <w:rsid w:val="002108BC"/>
    <w:rsid w:val="00211BC8"/>
    <w:rsid w:val="00213E12"/>
    <w:rsid w:val="00217B99"/>
    <w:rsid w:val="002205DA"/>
    <w:rsid w:val="00226C03"/>
    <w:rsid w:val="002277B4"/>
    <w:rsid w:val="00240004"/>
    <w:rsid w:val="00242A44"/>
    <w:rsid w:val="00245CF5"/>
    <w:rsid w:val="00246A4B"/>
    <w:rsid w:val="00251AF0"/>
    <w:rsid w:val="002532F8"/>
    <w:rsid w:val="00253BD2"/>
    <w:rsid w:val="002542E6"/>
    <w:rsid w:val="0025581D"/>
    <w:rsid w:val="00257172"/>
    <w:rsid w:val="00262CBE"/>
    <w:rsid w:val="00270F10"/>
    <w:rsid w:val="00271373"/>
    <w:rsid w:val="00274630"/>
    <w:rsid w:val="00274FE1"/>
    <w:rsid w:val="00277E08"/>
    <w:rsid w:val="00280AEA"/>
    <w:rsid w:val="0028374B"/>
    <w:rsid w:val="00297478"/>
    <w:rsid w:val="002A0605"/>
    <w:rsid w:val="002A2BE2"/>
    <w:rsid w:val="002C1F9A"/>
    <w:rsid w:val="002C41E7"/>
    <w:rsid w:val="002C591E"/>
    <w:rsid w:val="002D228B"/>
    <w:rsid w:val="002D630D"/>
    <w:rsid w:val="002E2145"/>
    <w:rsid w:val="002E4AAC"/>
    <w:rsid w:val="002F012F"/>
    <w:rsid w:val="002F1492"/>
    <w:rsid w:val="002F24BE"/>
    <w:rsid w:val="002F468F"/>
    <w:rsid w:val="00300048"/>
    <w:rsid w:val="0030383B"/>
    <w:rsid w:val="00311E74"/>
    <w:rsid w:val="00315A5B"/>
    <w:rsid w:val="00315E86"/>
    <w:rsid w:val="003162F5"/>
    <w:rsid w:val="00327F80"/>
    <w:rsid w:val="00331BCA"/>
    <w:rsid w:val="00336811"/>
    <w:rsid w:val="003456EE"/>
    <w:rsid w:val="003470C8"/>
    <w:rsid w:val="003539CC"/>
    <w:rsid w:val="00355EC2"/>
    <w:rsid w:val="00356648"/>
    <w:rsid w:val="00356847"/>
    <w:rsid w:val="003614E7"/>
    <w:rsid w:val="003621F8"/>
    <w:rsid w:val="00362D9C"/>
    <w:rsid w:val="003653F1"/>
    <w:rsid w:val="003657D2"/>
    <w:rsid w:val="0037078C"/>
    <w:rsid w:val="0037363E"/>
    <w:rsid w:val="003736E7"/>
    <w:rsid w:val="00375FE7"/>
    <w:rsid w:val="003772B1"/>
    <w:rsid w:val="00385D47"/>
    <w:rsid w:val="0038720B"/>
    <w:rsid w:val="003A0F2D"/>
    <w:rsid w:val="003A32C5"/>
    <w:rsid w:val="003A4846"/>
    <w:rsid w:val="003A724A"/>
    <w:rsid w:val="003B1C5D"/>
    <w:rsid w:val="003B210A"/>
    <w:rsid w:val="003B5701"/>
    <w:rsid w:val="003B5F00"/>
    <w:rsid w:val="003C47B7"/>
    <w:rsid w:val="003C49A9"/>
    <w:rsid w:val="003C5F76"/>
    <w:rsid w:val="003C65D7"/>
    <w:rsid w:val="003D0B0E"/>
    <w:rsid w:val="003D4309"/>
    <w:rsid w:val="003D55C0"/>
    <w:rsid w:val="003D656B"/>
    <w:rsid w:val="003E1B00"/>
    <w:rsid w:val="003E41CB"/>
    <w:rsid w:val="003F22A4"/>
    <w:rsid w:val="00401EA0"/>
    <w:rsid w:val="00402BC0"/>
    <w:rsid w:val="004131AE"/>
    <w:rsid w:val="00415308"/>
    <w:rsid w:val="00417350"/>
    <w:rsid w:val="00427D49"/>
    <w:rsid w:val="00430627"/>
    <w:rsid w:val="00433073"/>
    <w:rsid w:val="00447742"/>
    <w:rsid w:val="004618A0"/>
    <w:rsid w:val="004626F0"/>
    <w:rsid w:val="0046414E"/>
    <w:rsid w:val="004664AF"/>
    <w:rsid w:val="00471359"/>
    <w:rsid w:val="004732A2"/>
    <w:rsid w:val="0048117C"/>
    <w:rsid w:val="00486E72"/>
    <w:rsid w:val="004870CF"/>
    <w:rsid w:val="00490105"/>
    <w:rsid w:val="00492D08"/>
    <w:rsid w:val="00493095"/>
    <w:rsid w:val="004941F2"/>
    <w:rsid w:val="0049539F"/>
    <w:rsid w:val="004970C3"/>
    <w:rsid w:val="004A3093"/>
    <w:rsid w:val="004A5631"/>
    <w:rsid w:val="004A6C27"/>
    <w:rsid w:val="004B0057"/>
    <w:rsid w:val="004B6C07"/>
    <w:rsid w:val="004C165D"/>
    <w:rsid w:val="004E663B"/>
    <w:rsid w:val="004E6DF1"/>
    <w:rsid w:val="004F025B"/>
    <w:rsid w:val="004F14D4"/>
    <w:rsid w:val="004F30E1"/>
    <w:rsid w:val="004F7189"/>
    <w:rsid w:val="00501725"/>
    <w:rsid w:val="0050383B"/>
    <w:rsid w:val="00503B1F"/>
    <w:rsid w:val="005067C1"/>
    <w:rsid w:val="00507081"/>
    <w:rsid w:val="00507BEB"/>
    <w:rsid w:val="0051200B"/>
    <w:rsid w:val="005123A6"/>
    <w:rsid w:val="005153FD"/>
    <w:rsid w:val="00516E8C"/>
    <w:rsid w:val="005210C3"/>
    <w:rsid w:val="0052238A"/>
    <w:rsid w:val="00523231"/>
    <w:rsid w:val="0052574C"/>
    <w:rsid w:val="00525E0A"/>
    <w:rsid w:val="00526684"/>
    <w:rsid w:val="005273AE"/>
    <w:rsid w:val="00531FE0"/>
    <w:rsid w:val="00550762"/>
    <w:rsid w:val="00564C62"/>
    <w:rsid w:val="00567923"/>
    <w:rsid w:val="00567A38"/>
    <w:rsid w:val="00575CC5"/>
    <w:rsid w:val="005805F3"/>
    <w:rsid w:val="0058083F"/>
    <w:rsid w:val="00582287"/>
    <w:rsid w:val="00591CD3"/>
    <w:rsid w:val="00595C6B"/>
    <w:rsid w:val="00595E71"/>
    <w:rsid w:val="00596530"/>
    <w:rsid w:val="00597514"/>
    <w:rsid w:val="005A121B"/>
    <w:rsid w:val="005A1B03"/>
    <w:rsid w:val="005A20C8"/>
    <w:rsid w:val="005B4D33"/>
    <w:rsid w:val="005C22AD"/>
    <w:rsid w:val="005C6AD9"/>
    <w:rsid w:val="005D1CEE"/>
    <w:rsid w:val="005D2569"/>
    <w:rsid w:val="005D4278"/>
    <w:rsid w:val="005E0C1E"/>
    <w:rsid w:val="005E20A4"/>
    <w:rsid w:val="005F05EC"/>
    <w:rsid w:val="005F2B17"/>
    <w:rsid w:val="005F398E"/>
    <w:rsid w:val="005F72C2"/>
    <w:rsid w:val="006005CA"/>
    <w:rsid w:val="00601729"/>
    <w:rsid w:val="00611CDE"/>
    <w:rsid w:val="00614314"/>
    <w:rsid w:val="00617C65"/>
    <w:rsid w:val="00623F6E"/>
    <w:rsid w:val="006418BA"/>
    <w:rsid w:val="0065294D"/>
    <w:rsid w:val="00653F99"/>
    <w:rsid w:val="00656A64"/>
    <w:rsid w:val="006630B1"/>
    <w:rsid w:val="00665A08"/>
    <w:rsid w:val="00665F29"/>
    <w:rsid w:val="00671845"/>
    <w:rsid w:val="00673E57"/>
    <w:rsid w:val="006749F2"/>
    <w:rsid w:val="00685EA3"/>
    <w:rsid w:val="00696405"/>
    <w:rsid w:val="006A168A"/>
    <w:rsid w:val="006A4F04"/>
    <w:rsid w:val="006A4FF5"/>
    <w:rsid w:val="006C2093"/>
    <w:rsid w:val="006C37DB"/>
    <w:rsid w:val="006D0AA1"/>
    <w:rsid w:val="006D2564"/>
    <w:rsid w:val="006D6EF1"/>
    <w:rsid w:val="006E1415"/>
    <w:rsid w:val="006E2F38"/>
    <w:rsid w:val="006E6F03"/>
    <w:rsid w:val="006F0C2A"/>
    <w:rsid w:val="006F4D48"/>
    <w:rsid w:val="00714A89"/>
    <w:rsid w:val="00714B81"/>
    <w:rsid w:val="00717524"/>
    <w:rsid w:val="00720897"/>
    <w:rsid w:val="007218E6"/>
    <w:rsid w:val="00721A5B"/>
    <w:rsid w:val="0072322E"/>
    <w:rsid w:val="007254AF"/>
    <w:rsid w:val="00727B88"/>
    <w:rsid w:val="00727F29"/>
    <w:rsid w:val="007312C2"/>
    <w:rsid w:val="00731C12"/>
    <w:rsid w:val="007367D8"/>
    <w:rsid w:val="007570BE"/>
    <w:rsid w:val="007604F8"/>
    <w:rsid w:val="00764225"/>
    <w:rsid w:val="007650C0"/>
    <w:rsid w:val="007652E3"/>
    <w:rsid w:val="00772AEE"/>
    <w:rsid w:val="007754AC"/>
    <w:rsid w:val="0078013C"/>
    <w:rsid w:val="007807E3"/>
    <w:rsid w:val="00782E94"/>
    <w:rsid w:val="00784D5B"/>
    <w:rsid w:val="0078759B"/>
    <w:rsid w:val="007A48B8"/>
    <w:rsid w:val="007A522D"/>
    <w:rsid w:val="007A7ED2"/>
    <w:rsid w:val="007B5728"/>
    <w:rsid w:val="007C1B79"/>
    <w:rsid w:val="007C2F45"/>
    <w:rsid w:val="007C32D4"/>
    <w:rsid w:val="007C34A5"/>
    <w:rsid w:val="007C44E7"/>
    <w:rsid w:val="007C5826"/>
    <w:rsid w:val="007C71AE"/>
    <w:rsid w:val="007C7999"/>
    <w:rsid w:val="007D3734"/>
    <w:rsid w:val="007E0EDB"/>
    <w:rsid w:val="007E5121"/>
    <w:rsid w:val="007E5614"/>
    <w:rsid w:val="007E5DDB"/>
    <w:rsid w:val="007F304B"/>
    <w:rsid w:val="007F34C8"/>
    <w:rsid w:val="007F3986"/>
    <w:rsid w:val="007F4AC0"/>
    <w:rsid w:val="007F4B76"/>
    <w:rsid w:val="007F5651"/>
    <w:rsid w:val="008024E3"/>
    <w:rsid w:val="00810D34"/>
    <w:rsid w:val="008113AB"/>
    <w:rsid w:val="008115FF"/>
    <w:rsid w:val="008223C3"/>
    <w:rsid w:val="00824BEA"/>
    <w:rsid w:val="008259EF"/>
    <w:rsid w:val="008313E5"/>
    <w:rsid w:val="00832298"/>
    <w:rsid w:val="00832C49"/>
    <w:rsid w:val="00840042"/>
    <w:rsid w:val="008426B6"/>
    <w:rsid w:val="00842A56"/>
    <w:rsid w:val="00846591"/>
    <w:rsid w:val="0084730E"/>
    <w:rsid w:val="00847384"/>
    <w:rsid w:val="0085598A"/>
    <w:rsid w:val="0086439D"/>
    <w:rsid w:val="008710BD"/>
    <w:rsid w:val="008738F8"/>
    <w:rsid w:val="00876D81"/>
    <w:rsid w:val="00877523"/>
    <w:rsid w:val="00881616"/>
    <w:rsid w:val="0088264D"/>
    <w:rsid w:val="008839EC"/>
    <w:rsid w:val="008860F7"/>
    <w:rsid w:val="00886B87"/>
    <w:rsid w:val="00887554"/>
    <w:rsid w:val="00887BF3"/>
    <w:rsid w:val="00890D7B"/>
    <w:rsid w:val="0089275C"/>
    <w:rsid w:val="008A170A"/>
    <w:rsid w:val="008B31AD"/>
    <w:rsid w:val="008B73A8"/>
    <w:rsid w:val="008D3112"/>
    <w:rsid w:val="008D41ED"/>
    <w:rsid w:val="008D4423"/>
    <w:rsid w:val="008D672B"/>
    <w:rsid w:val="008D7D71"/>
    <w:rsid w:val="008F04A7"/>
    <w:rsid w:val="008F1809"/>
    <w:rsid w:val="008F6E85"/>
    <w:rsid w:val="009039E6"/>
    <w:rsid w:val="009073E0"/>
    <w:rsid w:val="009079EE"/>
    <w:rsid w:val="0091326B"/>
    <w:rsid w:val="00913293"/>
    <w:rsid w:val="00913484"/>
    <w:rsid w:val="009135E6"/>
    <w:rsid w:val="00915818"/>
    <w:rsid w:val="00925B7D"/>
    <w:rsid w:val="00925E5F"/>
    <w:rsid w:val="0092648B"/>
    <w:rsid w:val="00926795"/>
    <w:rsid w:val="00927F69"/>
    <w:rsid w:val="009300A7"/>
    <w:rsid w:val="0093372D"/>
    <w:rsid w:val="0093536C"/>
    <w:rsid w:val="009370B4"/>
    <w:rsid w:val="0094007E"/>
    <w:rsid w:val="00944955"/>
    <w:rsid w:val="00950E73"/>
    <w:rsid w:val="009527BB"/>
    <w:rsid w:val="00956471"/>
    <w:rsid w:val="00975444"/>
    <w:rsid w:val="00980A99"/>
    <w:rsid w:val="00981778"/>
    <w:rsid w:val="00983EEC"/>
    <w:rsid w:val="00990623"/>
    <w:rsid w:val="009A15F3"/>
    <w:rsid w:val="009A604B"/>
    <w:rsid w:val="009A6FE6"/>
    <w:rsid w:val="009B0053"/>
    <w:rsid w:val="009B0298"/>
    <w:rsid w:val="009B420D"/>
    <w:rsid w:val="009B6970"/>
    <w:rsid w:val="009B6E77"/>
    <w:rsid w:val="009B7B41"/>
    <w:rsid w:val="009C1B8A"/>
    <w:rsid w:val="009C5854"/>
    <w:rsid w:val="009C71D5"/>
    <w:rsid w:val="009D08F2"/>
    <w:rsid w:val="009D0A28"/>
    <w:rsid w:val="009E0A1E"/>
    <w:rsid w:val="009E1248"/>
    <w:rsid w:val="009E60B4"/>
    <w:rsid w:val="009E69DD"/>
    <w:rsid w:val="009E6F19"/>
    <w:rsid w:val="009F352D"/>
    <w:rsid w:val="009F3D83"/>
    <w:rsid w:val="00A0016E"/>
    <w:rsid w:val="00A03452"/>
    <w:rsid w:val="00A0719F"/>
    <w:rsid w:val="00A07551"/>
    <w:rsid w:val="00A110A0"/>
    <w:rsid w:val="00A1574E"/>
    <w:rsid w:val="00A20A3A"/>
    <w:rsid w:val="00A21191"/>
    <w:rsid w:val="00A2447E"/>
    <w:rsid w:val="00A31337"/>
    <w:rsid w:val="00A3154D"/>
    <w:rsid w:val="00A31C0E"/>
    <w:rsid w:val="00A33497"/>
    <w:rsid w:val="00A5295D"/>
    <w:rsid w:val="00A62630"/>
    <w:rsid w:val="00A64BA4"/>
    <w:rsid w:val="00A7419F"/>
    <w:rsid w:val="00A74B0C"/>
    <w:rsid w:val="00A779DA"/>
    <w:rsid w:val="00A77B54"/>
    <w:rsid w:val="00A77EBB"/>
    <w:rsid w:val="00A83725"/>
    <w:rsid w:val="00A85DAE"/>
    <w:rsid w:val="00A86210"/>
    <w:rsid w:val="00A866CB"/>
    <w:rsid w:val="00A915E1"/>
    <w:rsid w:val="00A964D6"/>
    <w:rsid w:val="00A97497"/>
    <w:rsid w:val="00AA2E39"/>
    <w:rsid w:val="00AA5A92"/>
    <w:rsid w:val="00AA6040"/>
    <w:rsid w:val="00AB00F5"/>
    <w:rsid w:val="00AB0A2F"/>
    <w:rsid w:val="00AB1104"/>
    <w:rsid w:val="00AB7E90"/>
    <w:rsid w:val="00AC13F2"/>
    <w:rsid w:val="00AC32F0"/>
    <w:rsid w:val="00AC4868"/>
    <w:rsid w:val="00AD440E"/>
    <w:rsid w:val="00AD45AD"/>
    <w:rsid w:val="00AD4664"/>
    <w:rsid w:val="00AD555D"/>
    <w:rsid w:val="00AD62D4"/>
    <w:rsid w:val="00AE5A1D"/>
    <w:rsid w:val="00AF144E"/>
    <w:rsid w:val="00AF2B45"/>
    <w:rsid w:val="00AF4111"/>
    <w:rsid w:val="00AF7588"/>
    <w:rsid w:val="00B01FE0"/>
    <w:rsid w:val="00B02B63"/>
    <w:rsid w:val="00B053B2"/>
    <w:rsid w:val="00B05502"/>
    <w:rsid w:val="00B0724B"/>
    <w:rsid w:val="00B12C3F"/>
    <w:rsid w:val="00B14525"/>
    <w:rsid w:val="00B14929"/>
    <w:rsid w:val="00B17081"/>
    <w:rsid w:val="00B177D3"/>
    <w:rsid w:val="00B22159"/>
    <w:rsid w:val="00B2449B"/>
    <w:rsid w:val="00B26234"/>
    <w:rsid w:val="00B266DB"/>
    <w:rsid w:val="00B311DE"/>
    <w:rsid w:val="00B34903"/>
    <w:rsid w:val="00B4147E"/>
    <w:rsid w:val="00B5509D"/>
    <w:rsid w:val="00B55575"/>
    <w:rsid w:val="00B56111"/>
    <w:rsid w:val="00B62D34"/>
    <w:rsid w:val="00B62F31"/>
    <w:rsid w:val="00B7033F"/>
    <w:rsid w:val="00B767D5"/>
    <w:rsid w:val="00B8048B"/>
    <w:rsid w:val="00B81AD7"/>
    <w:rsid w:val="00B82B5E"/>
    <w:rsid w:val="00B874E7"/>
    <w:rsid w:val="00B87FA9"/>
    <w:rsid w:val="00B905BD"/>
    <w:rsid w:val="00B9262C"/>
    <w:rsid w:val="00B928FF"/>
    <w:rsid w:val="00BA2348"/>
    <w:rsid w:val="00BA2B62"/>
    <w:rsid w:val="00BA43A1"/>
    <w:rsid w:val="00BA4B98"/>
    <w:rsid w:val="00BA6D14"/>
    <w:rsid w:val="00BB2D91"/>
    <w:rsid w:val="00BB3680"/>
    <w:rsid w:val="00BB5CD2"/>
    <w:rsid w:val="00BC2A4B"/>
    <w:rsid w:val="00BC3325"/>
    <w:rsid w:val="00BC61F9"/>
    <w:rsid w:val="00BC6ED9"/>
    <w:rsid w:val="00BC7121"/>
    <w:rsid w:val="00BC748C"/>
    <w:rsid w:val="00BD0649"/>
    <w:rsid w:val="00BD0E31"/>
    <w:rsid w:val="00BD4AE5"/>
    <w:rsid w:val="00BD64B4"/>
    <w:rsid w:val="00BE40E2"/>
    <w:rsid w:val="00BE48EA"/>
    <w:rsid w:val="00BE618B"/>
    <w:rsid w:val="00BF2BC5"/>
    <w:rsid w:val="00BF3106"/>
    <w:rsid w:val="00C04A86"/>
    <w:rsid w:val="00C05250"/>
    <w:rsid w:val="00C07368"/>
    <w:rsid w:val="00C109FA"/>
    <w:rsid w:val="00C11778"/>
    <w:rsid w:val="00C12983"/>
    <w:rsid w:val="00C148D0"/>
    <w:rsid w:val="00C161C2"/>
    <w:rsid w:val="00C25CC1"/>
    <w:rsid w:val="00C31545"/>
    <w:rsid w:val="00C32A2B"/>
    <w:rsid w:val="00C33D56"/>
    <w:rsid w:val="00C37D38"/>
    <w:rsid w:val="00C40E0B"/>
    <w:rsid w:val="00C45167"/>
    <w:rsid w:val="00C468EF"/>
    <w:rsid w:val="00C500F6"/>
    <w:rsid w:val="00C51C94"/>
    <w:rsid w:val="00C63D46"/>
    <w:rsid w:val="00C6626C"/>
    <w:rsid w:val="00C7014F"/>
    <w:rsid w:val="00C71595"/>
    <w:rsid w:val="00C71F47"/>
    <w:rsid w:val="00C725E5"/>
    <w:rsid w:val="00C7591D"/>
    <w:rsid w:val="00C81E1C"/>
    <w:rsid w:val="00C83CC9"/>
    <w:rsid w:val="00C86C8F"/>
    <w:rsid w:val="00C911AC"/>
    <w:rsid w:val="00C92136"/>
    <w:rsid w:val="00C92946"/>
    <w:rsid w:val="00C92E2C"/>
    <w:rsid w:val="00C94BF7"/>
    <w:rsid w:val="00C974FC"/>
    <w:rsid w:val="00CA636D"/>
    <w:rsid w:val="00CB03E0"/>
    <w:rsid w:val="00CB525C"/>
    <w:rsid w:val="00CC010E"/>
    <w:rsid w:val="00CD6F54"/>
    <w:rsid w:val="00CE37FF"/>
    <w:rsid w:val="00CE4E2E"/>
    <w:rsid w:val="00CE5BE9"/>
    <w:rsid w:val="00CF67BA"/>
    <w:rsid w:val="00D07717"/>
    <w:rsid w:val="00D07873"/>
    <w:rsid w:val="00D15564"/>
    <w:rsid w:val="00D17C9C"/>
    <w:rsid w:val="00D21141"/>
    <w:rsid w:val="00D22079"/>
    <w:rsid w:val="00D24A5C"/>
    <w:rsid w:val="00D24DA5"/>
    <w:rsid w:val="00D271B4"/>
    <w:rsid w:val="00D33250"/>
    <w:rsid w:val="00D34419"/>
    <w:rsid w:val="00D34B70"/>
    <w:rsid w:val="00D36124"/>
    <w:rsid w:val="00D43678"/>
    <w:rsid w:val="00D50FF6"/>
    <w:rsid w:val="00D56253"/>
    <w:rsid w:val="00D65D5C"/>
    <w:rsid w:val="00D66A01"/>
    <w:rsid w:val="00D754BC"/>
    <w:rsid w:val="00D86477"/>
    <w:rsid w:val="00DA0906"/>
    <w:rsid w:val="00DA602C"/>
    <w:rsid w:val="00DA7C14"/>
    <w:rsid w:val="00DB65E7"/>
    <w:rsid w:val="00DC0222"/>
    <w:rsid w:val="00DC4DB2"/>
    <w:rsid w:val="00DC6980"/>
    <w:rsid w:val="00DD0D17"/>
    <w:rsid w:val="00DD2A8C"/>
    <w:rsid w:val="00DD4D79"/>
    <w:rsid w:val="00DD5364"/>
    <w:rsid w:val="00DD5DD8"/>
    <w:rsid w:val="00DD6D44"/>
    <w:rsid w:val="00DE39E4"/>
    <w:rsid w:val="00DE3B8D"/>
    <w:rsid w:val="00DE416A"/>
    <w:rsid w:val="00DE5801"/>
    <w:rsid w:val="00DF4E47"/>
    <w:rsid w:val="00E0017E"/>
    <w:rsid w:val="00E00894"/>
    <w:rsid w:val="00E049F3"/>
    <w:rsid w:val="00E04E7E"/>
    <w:rsid w:val="00E051A1"/>
    <w:rsid w:val="00E06A48"/>
    <w:rsid w:val="00E06E33"/>
    <w:rsid w:val="00E0717E"/>
    <w:rsid w:val="00E11B1E"/>
    <w:rsid w:val="00E12A0C"/>
    <w:rsid w:val="00E13D1A"/>
    <w:rsid w:val="00E2362B"/>
    <w:rsid w:val="00E253F3"/>
    <w:rsid w:val="00E31ACC"/>
    <w:rsid w:val="00E40732"/>
    <w:rsid w:val="00E40E27"/>
    <w:rsid w:val="00E43224"/>
    <w:rsid w:val="00E44405"/>
    <w:rsid w:val="00E510E4"/>
    <w:rsid w:val="00E51717"/>
    <w:rsid w:val="00E54E0D"/>
    <w:rsid w:val="00E63A0C"/>
    <w:rsid w:val="00E644B4"/>
    <w:rsid w:val="00E706D6"/>
    <w:rsid w:val="00E70DEF"/>
    <w:rsid w:val="00E7393E"/>
    <w:rsid w:val="00E8537C"/>
    <w:rsid w:val="00E862CD"/>
    <w:rsid w:val="00EA6747"/>
    <w:rsid w:val="00EB006A"/>
    <w:rsid w:val="00EB0145"/>
    <w:rsid w:val="00EB6F58"/>
    <w:rsid w:val="00EC7E7F"/>
    <w:rsid w:val="00ED0C7F"/>
    <w:rsid w:val="00EE0F35"/>
    <w:rsid w:val="00EE1535"/>
    <w:rsid w:val="00EE2962"/>
    <w:rsid w:val="00EE4CD3"/>
    <w:rsid w:val="00EE71CB"/>
    <w:rsid w:val="00F02D68"/>
    <w:rsid w:val="00F0320D"/>
    <w:rsid w:val="00F14795"/>
    <w:rsid w:val="00F156C6"/>
    <w:rsid w:val="00F16824"/>
    <w:rsid w:val="00F24A3D"/>
    <w:rsid w:val="00F318BA"/>
    <w:rsid w:val="00F329B7"/>
    <w:rsid w:val="00F331A0"/>
    <w:rsid w:val="00F3714E"/>
    <w:rsid w:val="00F41F0E"/>
    <w:rsid w:val="00F5018B"/>
    <w:rsid w:val="00F53EDD"/>
    <w:rsid w:val="00F57D6F"/>
    <w:rsid w:val="00F60445"/>
    <w:rsid w:val="00F6095E"/>
    <w:rsid w:val="00F66AD7"/>
    <w:rsid w:val="00F72F7C"/>
    <w:rsid w:val="00F75C0C"/>
    <w:rsid w:val="00F83084"/>
    <w:rsid w:val="00FA2663"/>
    <w:rsid w:val="00FA2E40"/>
    <w:rsid w:val="00FA5F07"/>
    <w:rsid w:val="00FB0DA1"/>
    <w:rsid w:val="00FB30F0"/>
    <w:rsid w:val="00FB787D"/>
    <w:rsid w:val="00FC6C1E"/>
    <w:rsid w:val="00FC71D4"/>
    <w:rsid w:val="00FD046F"/>
    <w:rsid w:val="00FD12A2"/>
    <w:rsid w:val="00FD6A62"/>
    <w:rsid w:val="00FD7062"/>
    <w:rsid w:val="00FD731D"/>
    <w:rsid w:val="00FE00C6"/>
    <w:rsid w:val="00FE1BE2"/>
    <w:rsid w:val="00FE3EF4"/>
    <w:rsid w:val="00FF0C99"/>
    <w:rsid w:val="00FF1F9B"/>
    <w:rsid w:val="00FF35D6"/>
    <w:rsid w:val="00FF3EEE"/>
    <w:rsid w:val="00FF555C"/>
    <w:rsid w:val="00FF57D3"/>
    <w:rsid w:val="00FF6F18"/>
    <w:rsid w:val="026A1AAA"/>
    <w:rsid w:val="030303E6"/>
    <w:rsid w:val="03040698"/>
    <w:rsid w:val="034E11BB"/>
    <w:rsid w:val="038131AC"/>
    <w:rsid w:val="04A23A00"/>
    <w:rsid w:val="04DE25D2"/>
    <w:rsid w:val="05B370DB"/>
    <w:rsid w:val="06287461"/>
    <w:rsid w:val="06D242E9"/>
    <w:rsid w:val="06D544AC"/>
    <w:rsid w:val="06E207C6"/>
    <w:rsid w:val="073E7C39"/>
    <w:rsid w:val="079C0106"/>
    <w:rsid w:val="07A40A90"/>
    <w:rsid w:val="07B205A4"/>
    <w:rsid w:val="07CA3133"/>
    <w:rsid w:val="086E60CF"/>
    <w:rsid w:val="08B352CE"/>
    <w:rsid w:val="09B5725D"/>
    <w:rsid w:val="0A2D2958"/>
    <w:rsid w:val="0A5371A2"/>
    <w:rsid w:val="0B1A37C0"/>
    <w:rsid w:val="0B50616E"/>
    <w:rsid w:val="0B6C7DF0"/>
    <w:rsid w:val="0BCD5C34"/>
    <w:rsid w:val="0C9A2C0C"/>
    <w:rsid w:val="0D265DC1"/>
    <w:rsid w:val="0D3C40AE"/>
    <w:rsid w:val="0D6B4803"/>
    <w:rsid w:val="0D814724"/>
    <w:rsid w:val="0D922B01"/>
    <w:rsid w:val="0E223375"/>
    <w:rsid w:val="0E295247"/>
    <w:rsid w:val="0E747453"/>
    <w:rsid w:val="0EA52D2C"/>
    <w:rsid w:val="0FD73B69"/>
    <w:rsid w:val="0FD924B7"/>
    <w:rsid w:val="10A23C1D"/>
    <w:rsid w:val="10AC29CC"/>
    <w:rsid w:val="10E8616A"/>
    <w:rsid w:val="11521863"/>
    <w:rsid w:val="120D0626"/>
    <w:rsid w:val="12192A7F"/>
    <w:rsid w:val="128663FF"/>
    <w:rsid w:val="129904F4"/>
    <w:rsid w:val="12EF06E2"/>
    <w:rsid w:val="13054DB2"/>
    <w:rsid w:val="133B6472"/>
    <w:rsid w:val="13DC1438"/>
    <w:rsid w:val="144B2C98"/>
    <w:rsid w:val="148930DE"/>
    <w:rsid w:val="149516C8"/>
    <w:rsid w:val="15472467"/>
    <w:rsid w:val="16B014D8"/>
    <w:rsid w:val="16D8554F"/>
    <w:rsid w:val="176D70C1"/>
    <w:rsid w:val="179761F4"/>
    <w:rsid w:val="183042A9"/>
    <w:rsid w:val="188655EE"/>
    <w:rsid w:val="196A3BC0"/>
    <w:rsid w:val="19946E8F"/>
    <w:rsid w:val="19CC03D7"/>
    <w:rsid w:val="19D454DE"/>
    <w:rsid w:val="1A0D76C1"/>
    <w:rsid w:val="1B177C8B"/>
    <w:rsid w:val="1B5F603D"/>
    <w:rsid w:val="1C401BD4"/>
    <w:rsid w:val="1C7F7983"/>
    <w:rsid w:val="1C8707C0"/>
    <w:rsid w:val="1CB315CA"/>
    <w:rsid w:val="1CC17AF9"/>
    <w:rsid w:val="1EB206B8"/>
    <w:rsid w:val="1EBF050A"/>
    <w:rsid w:val="1F015DFA"/>
    <w:rsid w:val="1F5A46D7"/>
    <w:rsid w:val="2127683B"/>
    <w:rsid w:val="217954EC"/>
    <w:rsid w:val="21BC79E8"/>
    <w:rsid w:val="21C4408A"/>
    <w:rsid w:val="22836D2F"/>
    <w:rsid w:val="22A31EF1"/>
    <w:rsid w:val="23ED3D6C"/>
    <w:rsid w:val="24583C7E"/>
    <w:rsid w:val="249B7324"/>
    <w:rsid w:val="24EE5828"/>
    <w:rsid w:val="24F0020D"/>
    <w:rsid w:val="257F5762"/>
    <w:rsid w:val="25AD6E8C"/>
    <w:rsid w:val="25EF0857"/>
    <w:rsid w:val="260B5850"/>
    <w:rsid w:val="263E106A"/>
    <w:rsid w:val="264E7B1E"/>
    <w:rsid w:val="265A3A36"/>
    <w:rsid w:val="26B54523"/>
    <w:rsid w:val="26BF5E3B"/>
    <w:rsid w:val="26EF57D3"/>
    <w:rsid w:val="271433BD"/>
    <w:rsid w:val="27247AA4"/>
    <w:rsid w:val="2753092E"/>
    <w:rsid w:val="27620AFA"/>
    <w:rsid w:val="278471D0"/>
    <w:rsid w:val="28014F56"/>
    <w:rsid w:val="28543426"/>
    <w:rsid w:val="287F6F5C"/>
    <w:rsid w:val="28E55F05"/>
    <w:rsid w:val="29B11398"/>
    <w:rsid w:val="29C61E7F"/>
    <w:rsid w:val="29DF5F05"/>
    <w:rsid w:val="29F51124"/>
    <w:rsid w:val="2A1220D8"/>
    <w:rsid w:val="2A1E40E7"/>
    <w:rsid w:val="2A431FE7"/>
    <w:rsid w:val="2AAB4039"/>
    <w:rsid w:val="2AFE54A9"/>
    <w:rsid w:val="2B292838"/>
    <w:rsid w:val="2B3040F6"/>
    <w:rsid w:val="2B8B43C4"/>
    <w:rsid w:val="2C2574F4"/>
    <w:rsid w:val="2C691356"/>
    <w:rsid w:val="2C772424"/>
    <w:rsid w:val="2D0C573C"/>
    <w:rsid w:val="2DE92552"/>
    <w:rsid w:val="2E0F003A"/>
    <w:rsid w:val="2F817F72"/>
    <w:rsid w:val="303C4BBE"/>
    <w:rsid w:val="3082085A"/>
    <w:rsid w:val="308C4A63"/>
    <w:rsid w:val="32586856"/>
    <w:rsid w:val="325F3896"/>
    <w:rsid w:val="32AC5C48"/>
    <w:rsid w:val="33443856"/>
    <w:rsid w:val="3393552D"/>
    <w:rsid w:val="33E43B28"/>
    <w:rsid w:val="340053F5"/>
    <w:rsid w:val="3411315F"/>
    <w:rsid w:val="34232E92"/>
    <w:rsid w:val="34915428"/>
    <w:rsid w:val="34EE52CE"/>
    <w:rsid w:val="34F56D44"/>
    <w:rsid w:val="350B5E00"/>
    <w:rsid w:val="35951B6D"/>
    <w:rsid w:val="35EE3396"/>
    <w:rsid w:val="362A7637"/>
    <w:rsid w:val="37471D1A"/>
    <w:rsid w:val="384B29B7"/>
    <w:rsid w:val="38AD58E8"/>
    <w:rsid w:val="38B71E1F"/>
    <w:rsid w:val="38BF088D"/>
    <w:rsid w:val="38E51572"/>
    <w:rsid w:val="3923264B"/>
    <w:rsid w:val="3A176FF5"/>
    <w:rsid w:val="3ACE3183"/>
    <w:rsid w:val="3BC20A73"/>
    <w:rsid w:val="3C6C3ABE"/>
    <w:rsid w:val="3C97441D"/>
    <w:rsid w:val="3CD76420"/>
    <w:rsid w:val="3CF4186F"/>
    <w:rsid w:val="3E564848"/>
    <w:rsid w:val="3EE656D0"/>
    <w:rsid w:val="3F3D1179"/>
    <w:rsid w:val="3F7319F9"/>
    <w:rsid w:val="3FA43F8C"/>
    <w:rsid w:val="3FF551F9"/>
    <w:rsid w:val="40402C7F"/>
    <w:rsid w:val="410A564B"/>
    <w:rsid w:val="41566655"/>
    <w:rsid w:val="432008E1"/>
    <w:rsid w:val="432B5962"/>
    <w:rsid w:val="4359067E"/>
    <w:rsid w:val="43936484"/>
    <w:rsid w:val="44E13094"/>
    <w:rsid w:val="46076F4E"/>
    <w:rsid w:val="46F77A4D"/>
    <w:rsid w:val="472748B5"/>
    <w:rsid w:val="48392C98"/>
    <w:rsid w:val="484D70C7"/>
    <w:rsid w:val="49A67686"/>
    <w:rsid w:val="4AB10636"/>
    <w:rsid w:val="4B9226CB"/>
    <w:rsid w:val="4C3DD7BC"/>
    <w:rsid w:val="4CBC40A5"/>
    <w:rsid w:val="4CD24DE9"/>
    <w:rsid w:val="4DF02612"/>
    <w:rsid w:val="4DF82B46"/>
    <w:rsid w:val="4E083467"/>
    <w:rsid w:val="4EE16C6A"/>
    <w:rsid w:val="4EE44F1B"/>
    <w:rsid w:val="4F3534DD"/>
    <w:rsid w:val="4F827460"/>
    <w:rsid w:val="4FBB2239"/>
    <w:rsid w:val="506F4BA7"/>
    <w:rsid w:val="50C57353"/>
    <w:rsid w:val="51A259FF"/>
    <w:rsid w:val="51FC0B3E"/>
    <w:rsid w:val="521B7E89"/>
    <w:rsid w:val="523678E2"/>
    <w:rsid w:val="530103EA"/>
    <w:rsid w:val="53820EFC"/>
    <w:rsid w:val="53B3052B"/>
    <w:rsid w:val="54174096"/>
    <w:rsid w:val="543479E4"/>
    <w:rsid w:val="554368A0"/>
    <w:rsid w:val="55546EF7"/>
    <w:rsid w:val="556F6786"/>
    <w:rsid w:val="558B76CD"/>
    <w:rsid w:val="558E4B9B"/>
    <w:rsid w:val="55EA48C2"/>
    <w:rsid w:val="56A812A9"/>
    <w:rsid w:val="56E849CE"/>
    <w:rsid w:val="57073FB0"/>
    <w:rsid w:val="579D2F5D"/>
    <w:rsid w:val="57B04AEE"/>
    <w:rsid w:val="58445001"/>
    <w:rsid w:val="59A41F66"/>
    <w:rsid w:val="5A1B1A6D"/>
    <w:rsid w:val="5BC41B86"/>
    <w:rsid w:val="5BE76847"/>
    <w:rsid w:val="5C477471"/>
    <w:rsid w:val="5CAE1DC8"/>
    <w:rsid w:val="5CD234A9"/>
    <w:rsid w:val="5D8B4CB8"/>
    <w:rsid w:val="5E7E03F2"/>
    <w:rsid w:val="5E916AC6"/>
    <w:rsid w:val="5F1514A5"/>
    <w:rsid w:val="5F331851"/>
    <w:rsid w:val="5F772BEE"/>
    <w:rsid w:val="5F7D2E4A"/>
    <w:rsid w:val="5FDEE15E"/>
    <w:rsid w:val="60F4119F"/>
    <w:rsid w:val="61AD22F0"/>
    <w:rsid w:val="62212091"/>
    <w:rsid w:val="6224507F"/>
    <w:rsid w:val="62597D34"/>
    <w:rsid w:val="628A3F58"/>
    <w:rsid w:val="62C656CB"/>
    <w:rsid w:val="632B5FCD"/>
    <w:rsid w:val="63AC3596"/>
    <w:rsid w:val="63AF4F4E"/>
    <w:rsid w:val="64122457"/>
    <w:rsid w:val="64947310"/>
    <w:rsid w:val="64A36D5C"/>
    <w:rsid w:val="64C35D8A"/>
    <w:rsid w:val="654176EC"/>
    <w:rsid w:val="655A7EFF"/>
    <w:rsid w:val="666C6E98"/>
    <w:rsid w:val="676905E0"/>
    <w:rsid w:val="67D465F4"/>
    <w:rsid w:val="68703BF0"/>
    <w:rsid w:val="69276B0B"/>
    <w:rsid w:val="69657F6C"/>
    <w:rsid w:val="69AC0A2E"/>
    <w:rsid w:val="6A3A6264"/>
    <w:rsid w:val="6A4D41E9"/>
    <w:rsid w:val="6AED17A6"/>
    <w:rsid w:val="6B0C5E52"/>
    <w:rsid w:val="6B6510F2"/>
    <w:rsid w:val="6B683A19"/>
    <w:rsid w:val="6BDE5518"/>
    <w:rsid w:val="6C620732"/>
    <w:rsid w:val="6C6347AB"/>
    <w:rsid w:val="6C823F3D"/>
    <w:rsid w:val="6D0E11DB"/>
    <w:rsid w:val="6D8F68C7"/>
    <w:rsid w:val="6DCB4D75"/>
    <w:rsid w:val="6E5F6EB9"/>
    <w:rsid w:val="6F3038C2"/>
    <w:rsid w:val="6F7A7103"/>
    <w:rsid w:val="704433A9"/>
    <w:rsid w:val="70803A56"/>
    <w:rsid w:val="70950698"/>
    <w:rsid w:val="709766D3"/>
    <w:rsid w:val="70CD0DC1"/>
    <w:rsid w:val="70D4605C"/>
    <w:rsid w:val="71436B96"/>
    <w:rsid w:val="72297EBD"/>
    <w:rsid w:val="72EA3A66"/>
    <w:rsid w:val="730D5DB7"/>
    <w:rsid w:val="734D3256"/>
    <w:rsid w:val="737A5923"/>
    <w:rsid w:val="738078A9"/>
    <w:rsid w:val="73921C20"/>
    <w:rsid w:val="73AE05CB"/>
    <w:rsid w:val="73D17C39"/>
    <w:rsid w:val="745A420A"/>
    <w:rsid w:val="74953DB9"/>
    <w:rsid w:val="7536560D"/>
    <w:rsid w:val="757A1C0A"/>
    <w:rsid w:val="75DF701C"/>
    <w:rsid w:val="760E7F39"/>
    <w:rsid w:val="76CC778F"/>
    <w:rsid w:val="76D39EC2"/>
    <w:rsid w:val="76DA41E9"/>
    <w:rsid w:val="76E77774"/>
    <w:rsid w:val="77920D4F"/>
    <w:rsid w:val="77C67389"/>
    <w:rsid w:val="77D35BE0"/>
    <w:rsid w:val="781F3464"/>
    <w:rsid w:val="78436124"/>
    <w:rsid w:val="792C76C0"/>
    <w:rsid w:val="7979297E"/>
    <w:rsid w:val="79957FBB"/>
    <w:rsid w:val="79E57DF5"/>
    <w:rsid w:val="7A0D74F1"/>
    <w:rsid w:val="7A302041"/>
    <w:rsid w:val="7A724417"/>
    <w:rsid w:val="7ACD6BE5"/>
    <w:rsid w:val="7B205002"/>
    <w:rsid w:val="7B336538"/>
    <w:rsid w:val="7BBFC6DE"/>
    <w:rsid w:val="7BCC102D"/>
    <w:rsid w:val="7BD67449"/>
    <w:rsid w:val="7C6A509A"/>
    <w:rsid w:val="7CA90740"/>
    <w:rsid w:val="7D4A770A"/>
    <w:rsid w:val="7DA33ADF"/>
    <w:rsid w:val="7E152F4C"/>
    <w:rsid w:val="7E7B78A9"/>
    <w:rsid w:val="7E7C50C3"/>
    <w:rsid w:val="7EC21853"/>
    <w:rsid w:val="7ECC0E31"/>
    <w:rsid w:val="7F798866"/>
    <w:rsid w:val="7FB9FA4F"/>
    <w:rsid w:val="7FBF2153"/>
    <w:rsid w:val="7FC21ABA"/>
    <w:rsid w:val="7FDA9040"/>
    <w:rsid w:val="7FE72667"/>
    <w:rsid w:val="7FFA72A2"/>
    <w:rsid w:val="7FFE06CB"/>
    <w:rsid w:val="7FFF09CA"/>
    <w:rsid w:val="ADDD99FD"/>
    <w:rsid w:val="AF7DB212"/>
    <w:rsid w:val="AFFF9126"/>
    <w:rsid w:val="BFEB55C1"/>
    <w:rsid w:val="BFFEF56B"/>
    <w:rsid w:val="DEFA8543"/>
    <w:rsid w:val="DEFB22B9"/>
    <w:rsid w:val="DFCFA0B8"/>
    <w:rsid w:val="DFF9E784"/>
    <w:rsid w:val="DFFD829C"/>
    <w:rsid w:val="E3DD84EE"/>
    <w:rsid w:val="E4FD381D"/>
    <w:rsid w:val="E7E6B178"/>
    <w:rsid w:val="EBB751F4"/>
    <w:rsid w:val="EFFFD1D0"/>
    <w:rsid w:val="F3EDEFAD"/>
    <w:rsid w:val="F9594C78"/>
    <w:rsid w:val="FA7F4E53"/>
    <w:rsid w:val="FA8F4892"/>
    <w:rsid w:val="FBAF24D0"/>
    <w:rsid w:val="FE1289FB"/>
    <w:rsid w:val="FECFD770"/>
    <w:rsid w:val="FFF95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lang w:val="en-US" w:eastAsia="zh-TW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tabs>
        <w:tab w:val="left" w:pos="0"/>
      </w:tabs>
      <w:spacing w:before="60" w:after="60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qFormat/>
    <w:uiPriority w:val="99"/>
    <w:pPr>
      <w:widowControl w:val="0"/>
      <w:adjustRightInd w:val="0"/>
      <w:textAlignment w:val="baseline"/>
    </w:pPr>
  </w:style>
  <w:style w:type="paragraph" w:styleId="4">
    <w:name w:val="Body Text"/>
    <w:basedOn w:val="1"/>
    <w:link w:val="21"/>
    <w:qFormat/>
    <w:uiPriority w:val="99"/>
    <w:pPr>
      <w:tabs>
        <w:tab w:val="left" w:pos="0"/>
        <w:tab w:val="left" w:pos="993"/>
      </w:tabs>
      <w:spacing w:after="60"/>
    </w:pPr>
  </w:style>
  <w:style w:type="paragraph" w:styleId="5">
    <w:name w:val="Body Text Indent"/>
    <w:basedOn w:val="1"/>
    <w:link w:val="22"/>
    <w:qFormat/>
    <w:uiPriority w:val="99"/>
    <w:pPr>
      <w:widowControl w:val="0"/>
      <w:ind w:left="980"/>
      <w:jc w:val="both"/>
    </w:pPr>
  </w:style>
  <w:style w:type="paragraph" w:styleId="6">
    <w:name w:val="Date"/>
    <w:basedOn w:val="1"/>
    <w:next w:val="1"/>
    <w:link w:val="23"/>
    <w:qFormat/>
    <w:uiPriority w:val="99"/>
    <w:pPr>
      <w:widowControl w:val="0"/>
      <w:ind w:left="100" w:leftChars="2500"/>
      <w:jc w:val="both"/>
    </w:pPr>
  </w:style>
  <w:style w:type="paragraph" w:styleId="7">
    <w:name w:val="Balloon Text"/>
    <w:basedOn w:val="1"/>
    <w:link w:val="24"/>
    <w:semiHidden/>
    <w:qFormat/>
    <w:uiPriority w:val="99"/>
    <w:rPr>
      <w:sz w:val="2"/>
    </w:rPr>
  </w:style>
  <w:style w:type="paragraph" w:styleId="8">
    <w:name w:val="footer"/>
    <w:basedOn w:val="1"/>
    <w:link w:val="25"/>
    <w:qFormat/>
    <w:uiPriority w:val="99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tabs>
        <w:tab w:val="center" w:pos="4320"/>
        <w:tab w:val="right" w:pos="8640"/>
      </w:tabs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11">
    <w:name w:val="annotation subject"/>
    <w:basedOn w:val="3"/>
    <w:next w:val="3"/>
    <w:link w:val="20"/>
    <w:semiHidden/>
    <w:qFormat/>
    <w:uiPriority w:val="99"/>
    <w:pPr>
      <w:widowControl/>
      <w:adjustRightInd/>
      <w:textAlignment w:val="auto"/>
    </w:pPr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  <w:lang w:eastAsia="zh-TW"/>
    </w:rPr>
  </w:style>
  <w:style w:type="character" w:customStyle="1" w:styleId="19">
    <w:name w:val="批注文字 Char"/>
    <w:link w:val="3"/>
    <w:semiHidden/>
    <w:qFormat/>
    <w:locked/>
    <w:uiPriority w:val="99"/>
    <w:rPr>
      <w:rFonts w:cs="Times New Roman"/>
      <w:kern w:val="0"/>
      <w:sz w:val="20"/>
      <w:szCs w:val="20"/>
      <w:lang w:eastAsia="zh-TW"/>
    </w:rPr>
  </w:style>
  <w:style w:type="character" w:customStyle="1" w:styleId="20">
    <w:name w:val="批注主题 Char"/>
    <w:link w:val="11"/>
    <w:semiHidden/>
    <w:qFormat/>
    <w:locked/>
    <w:uiPriority w:val="99"/>
    <w:rPr>
      <w:rFonts w:cs="Times New Roman"/>
      <w:b/>
      <w:bCs/>
      <w:kern w:val="0"/>
      <w:sz w:val="20"/>
      <w:szCs w:val="20"/>
      <w:lang w:eastAsia="zh-TW"/>
    </w:rPr>
  </w:style>
  <w:style w:type="character" w:customStyle="1" w:styleId="21">
    <w:name w:val="正文文本 Char"/>
    <w:link w:val="4"/>
    <w:semiHidden/>
    <w:qFormat/>
    <w:locked/>
    <w:uiPriority w:val="99"/>
    <w:rPr>
      <w:rFonts w:cs="Times New Roman"/>
      <w:kern w:val="0"/>
      <w:sz w:val="20"/>
      <w:szCs w:val="20"/>
      <w:lang w:eastAsia="zh-TW"/>
    </w:rPr>
  </w:style>
  <w:style w:type="character" w:customStyle="1" w:styleId="22">
    <w:name w:val="正文文本缩进 Char"/>
    <w:link w:val="5"/>
    <w:semiHidden/>
    <w:qFormat/>
    <w:locked/>
    <w:uiPriority w:val="99"/>
    <w:rPr>
      <w:rFonts w:cs="Times New Roman"/>
      <w:kern w:val="0"/>
      <w:sz w:val="20"/>
      <w:szCs w:val="20"/>
      <w:lang w:eastAsia="zh-TW"/>
    </w:rPr>
  </w:style>
  <w:style w:type="character" w:customStyle="1" w:styleId="23">
    <w:name w:val="日期 Char"/>
    <w:link w:val="6"/>
    <w:semiHidden/>
    <w:qFormat/>
    <w:locked/>
    <w:uiPriority w:val="99"/>
    <w:rPr>
      <w:rFonts w:cs="Times New Roman"/>
      <w:kern w:val="0"/>
      <w:sz w:val="20"/>
      <w:szCs w:val="20"/>
      <w:lang w:eastAsia="zh-TW"/>
    </w:rPr>
  </w:style>
  <w:style w:type="character" w:customStyle="1" w:styleId="24">
    <w:name w:val="批注框文本 Char"/>
    <w:link w:val="7"/>
    <w:semiHidden/>
    <w:qFormat/>
    <w:locked/>
    <w:uiPriority w:val="99"/>
    <w:rPr>
      <w:rFonts w:cs="Times New Roman"/>
      <w:kern w:val="0"/>
      <w:sz w:val="2"/>
      <w:lang w:eastAsia="zh-TW"/>
    </w:rPr>
  </w:style>
  <w:style w:type="character" w:customStyle="1" w:styleId="25">
    <w:name w:val="页脚 Char"/>
    <w:link w:val="8"/>
    <w:qFormat/>
    <w:locked/>
    <w:uiPriority w:val="99"/>
    <w:rPr>
      <w:rFonts w:cs="Times New Roman"/>
      <w:kern w:val="0"/>
      <w:sz w:val="18"/>
      <w:szCs w:val="18"/>
      <w:lang w:eastAsia="zh-TW"/>
    </w:rPr>
  </w:style>
  <w:style w:type="character" w:customStyle="1" w:styleId="26">
    <w:name w:val="页眉 Char"/>
    <w:link w:val="9"/>
    <w:qFormat/>
    <w:locked/>
    <w:uiPriority w:val="99"/>
    <w:rPr>
      <w:rFonts w:cs="Times New Roman"/>
      <w:lang w:eastAsia="zh-TW"/>
    </w:rPr>
  </w:style>
  <w:style w:type="paragraph" w:customStyle="1" w:styleId="27">
    <w:name w:val="Address"/>
    <w:basedOn w:val="1"/>
    <w:qFormat/>
    <w:uiPriority w:val="99"/>
    <w:pPr>
      <w:pBdr>
        <w:left w:val="single" w:color="auto" w:sz="4" w:space="6"/>
      </w:pBdr>
      <w:spacing w:line="200" w:lineRule="exact"/>
    </w:pPr>
    <w:rPr>
      <w:rFonts w:eastAsia="宋体"/>
      <w:sz w:val="16"/>
      <w:lang w:eastAsia="en-US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列出段落2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character" w:customStyle="1" w:styleId="32">
    <w:name w:val="apple-converted-space"/>
    <w:basedOn w:val="14"/>
    <w:qFormat/>
    <w:uiPriority w:val="0"/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34">
    <w:name w:val="列出段落3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lang w:eastAsia="zh-CN"/>
    </w:rPr>
  </w:style>
  <w:style w:type="character" w:customStyle="1" w:styleId="35">
    <w:name w:val="font51"/>
    <w:basedOn w:val="14"/>
    <w:qFormat/>
    <w:uiPriority w:val="0"/>
    <w:rPr>
      <w:rFonts w:hint="default" w:ascii="Arial Narrow" w:hAnsi="Arial Narrow" w:eastAsia="Arial Narrow" w:cs="Arial Narrow"/>
      <w:color w:val="000000"/>
      <w:sz w:val="16"/>
      <w:szCs w:val="16"/>
      <w:u w:val="none"/>
    </w:rPr>
  </w:style>
  <w:style w:type="paragraph" w:customStyle="1" w:styleId="36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37">
    <w:name w:val="font81"/>
    <w:basedOn w:val="1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91"/>
    <w:basedOn w:val="14"/>
    <w:qFormat/>
    <w:uiPriority w:val="0"/>
    <w:rPr>
      <w:rFonts w:hint="default" w:ascii="Arial Narrow" w:hAnsi="Arial Narrow" w:eastAsia="Arial Narrow" w:cs="Arial Narrow"/>
      <w:color w:val="000000"/>
      <w:sz w:val="24"/>
      <w:szCs w:val="24"/>
      <w:u w:val="none"/>
    </w:rPr>
  </w:style>
  <w:style w:type="character" w:customStyle="1" w:styleId="39">
    <w:name w:val="font31"/>
    <w:basedOn w:val="14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40">
    <w:name w:val="font21"/>
    <w:basedOn w:val="1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41">
    <w:name w:val="font41"/>
    <w:basedOn w:val="14"/>
    <w:qFormat/>
    <w:uiPriority w:val="0"/>
    <w:rPr>
      <w:rFonts w:hint="default" w:ascii="Arial Narrow" w:hAnsi="Arial Narrow" w:eastAsia="Arial Narrow" w:cs="Arial Narrow"/>
      <w:b/>
      <w:color w:val="000000"/>
      <w:sz w:val="24"/>
      <w:szCs w:val="24"/>
      <w:u w:val="none"/>
    </w:rPr>
  </w:style>
  <w:style w:type="character" w:customStyle="1" w:styleId="42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71"/>
    <w:basedOn w:val="14"/>
    <w:qFormat/>
    <w:uiPriority w:val="0"/>
    <w:rPr>
      <w:rFonts w:hint="default" w:ascii="Arial Narrow" w:hAnsi="Arial Narrow" w:eastAsia="Arial Narrow" w:cs="Arial Narrow"/>
      <w:b/>
      <w:color w:val="000000"/>
      <w:sz w:val="28"/>
      <w:szCs w:val="28"/>
      <w:u w:val="none"/>
    </w:rPr>
  </w:style>
  <w:style w:type="character" w:customStyle="1" w:styleId="44">
    <w:name w:val="font112"/>
    <w:basedOn w:val="14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45">
    <w:name w:val="font11"/>
    <w:basedOn w:val="1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46">
    <w:name w:val="font1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7">
    <w:name w:val="font101"/>
    <w:basedOn w:val="14"/>
    <w:qFormat/>
    <w:uiPriority w:val="0"/>
    <w:rPr>
      <w:rFonts w:hint="default" w:ascii="Arial Narrow" w:hAnsi="Arial Narrow" w:eastAsia="Arial Narrow" w:cs="Arial Narrow"/>
      <w:color w:val="000000"/>
      <w:sz w:val="28"/>
      <w:szCs w:val="28"/>
      <w:u w:val="none"/>
    </w:rPr>
  </w:style>
  <w:style w:type="character" w:customStyle="1" w:styleId="48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9D4839-BBB2-42C4-9AB8-BC87BFB95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Edsaco Horwath</Company>
  <Pages>8</Pages>
  <Words>2962</Words>
  <Characters>5360</Characters>
  <Lines>42</Lines>
  <Paragraphs>11</Paragraphs>
  <TotalTime>266</TotalTime>
  <ScaleCrop>false</ScaleCrop>
  <LinksUpToDate>false</LinksUpToDate>
  <CharactersWithSpaces>5502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2021-05-16T18:50:00Z</dcterms:created>
  <dc:creator>SW</dc:creator>
  <cp:lastModifiedBy>恩</cp:lastModifiedBy>
  <cp:lastPrinted>2025-11-04T08:13:00Z</cp:lastPrinted>
  <dcterms:modified xsi:type="dcterms:W3CDTF">2025-12-24T01:11:29Z</dcterms:modified>
  <dc:title>XXXXXX股份有限公司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5D1571F1FDB04E20B5B63590B9516E8C_13</vt:lpwstr>
  </property>
  <property fmtid="{D5CDD505-2E9C-101B-9397-08002B2CF9AE}" pid="4" name="KSOSaveFontToCloudKey">
    <vt:lpwstr>374504822_btnclosed</vt:lpwstr>
  </property>
  <property fmtid="{D5CDD505-2E9C-101B-9397-08002B2CF9AE}" pid="5" name="KSOTemplateDocerSaveRecord">
    <vt:lpwstr>eyJoZGlkIjoiMTdmYWY0ODQ3MjY0M2I0M2MyZjc3Mzc5MzA0ZmE3NDQiLCJ1c2VySWQiOiIzMzExNTAwODEifQ==</vt:lpwstr>
  </property>
</Properties>
</file>