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7B" w:rsidRDefault="00890D7B">
      <w:pPr>
        <w:jc w:val="center"/>
        <w:rPr>
          <w:rFonts w:asciiTheme="majorEastAsia" w:eastAsiaTheme="majorEastAsia" w:hAnsiTheme="majorEastAsia"/>
          <w:b/>
          <w:color w:val="FF0000"/>
          <w:sz w:val="84"/>
          <w:szCs w:val="84"/>
        </w:rPr>
      </w:pPr>
    </w:p>
    <w:p w:rsidR="00890D7B" w:rsidRDefault="00E54E0D">
      <w:pPr>
        <w:jc w:val="center"/>
        <w:rPr>
          <w:rFonts w:asciiTheme="majorEastAsia" w:eastAsiaTheme="majorEastAsia" w:hAnsiTheme="majorEastAsia"/>
          <w:b/>
          <w:color w:val="FF0000"/>
          <w:sz w:val="84"/>
          <w:szCs w:val="84"/>
        </w:rPr>
      </w:pPr>
      <w:r>
        <w:rPr>
          <w:rFonts w:asciiTheme="majorEastAsia" w:eastAsiaTheme="majorEastAsia" w:hAnsiTheme="majorEastAsia" w:hint="eastAsia"/>
          <w:b/>
          <w:color w:val="FF0000"/>
          <w:sz w:val="84"/>
          <w:szCs w:val="84"/>
        </w:rPr>
        <w:t>定价成本监审报告</w:t>
      </w:r>
    </w:p>
    <w:p w:rsidR="00890D7B" w:rsidRDefault="00890D7B">
      <w:pPr>
        <w:rPr>
          <w:rFonts w:ascii="宋体" w:hAnsi="宋体"/>
          <w:sz w:val="36"/>
          <w:szCs w:val="36"/>
        </w:rPr>
      </w:pPr>
    </w:p>
    <w:p w:rsidR="00890D7B" w:rsidRDefault="00E54E0D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长</w:t>
      </w: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双发改</w:t>
      </w:r>
      <w:r>
        <w:rPr>
          <w:rFonts w:asciiTheme="minorEastAsia" w:eastAsiaTheme="minorEastAsia" w:hAnsiTheme="minorEastAsia" w:hint="eastAsia"/>
          <w:sz w:val="32"/>
          <w:szCs w:val="32"/>
        </w:rPr>
        <w:t>成</w:t>
      </w: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价</w:t>
      </w:r>
      <w:r>
        <w:rPr>
          <w:rFonts w:asciiTheme="minorEastAsia" w:eastAsiaTheme="minorEastAsia" w:hAnsiTheme="minorEastAsia" w:hint="eastAsia"/>
          <w:sz w:val="32"/>
          <w:szCs w:val="32"/>
        </w:rPr>
        <w:t>监字</w:t>
      </w:r>
      <w:r>
        <w:rPr>
          <w:rFonts w:ascii="仿宋" w:eastAsia="仿宋" w:hAnsi="仿宋" w:cs="仿宋" w:hint="eastAsia"/>
          <w:sz w:val="32"/>
          <w:lang w:eastAsia="zh-CN"/>
        </w:rPr>
        <w:t>[</w:t>
      </w:r>
      <w:r>
        <w:rPr>
          <w:rFonts w:asciiTheme="minorEastAsia" w:eastAsiaTheme="minorEastAsia" w:hAnsiTheme="minorEastAsia" w:hint="eastAsia"/>
          <w:sz w:val="32"/>
          <w:szCs w:val="32"/>
        </w:rPr>
        <w:t>20</w:t>
      </w: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>25</w:t>
      </w:r>
      <w:r>
        <w:rPr>
          <w:rFonts w:asciiTheme="minorEastAsia" w:eastAsiaTheme="minorEastAsia" w:hAnsiTheme="minorEastAsia" w:hint="eastAsia"/>
          <w:sz w:val="32"/>
          <w:szCs w:val="32"/>
        </w:rPr>
        <w:t>]</w:t>
      </w:r>
      <w:r>
        <w:rPr>
          <w:rFonts w:asciiTheme="minorEastAsia" w:eastAsiaTheme="minorEastAsia" w:hAnsiTheme="minorEastAsia" w:hint="eastAsia"/>
          <w:sz w:val="32"/>
          <w:szCs w:val="32"/>
          <w:lang w:eastAsia="zh-CN"/>
        </w:rPr>
        <w:t xml:space="preserve"> 1</w:t>
      </w:r>
      <w:r>
        <w:rPr>
          <w:rFonts w:asciiTheme="minorEastAsia" w:eastAsiaTheme="minorEastAsia" w:hAnsiTheme="minorEastAsia" w:hint="eastAsia"/>
          <w:sz w:val="32"/>
          <w:szCs w:val="32"/>
        </w:rPr>
        <w:t>号</w:t>
      </w:r>
    </w:p>
    <w:p w:rsidR="00890D7B" w:rsidRDefault="00DD6D44">
      <w:pPr>
        <w:ind w:leftChars="147" w:left="454" w:hangingChars="50" w:hanging="160"/>
        <w:rPr>
          <w:rFonts w:ascii="宋体" w:hAnsi="宋体"/>
          <w:sz w:val="32"/>
          <w:szCs w:val="32"/>
        </w:rPr>
      </w:pPr>
      <w:r w:rsidRPr="00DD6D44">
        <w:rPr>
          <w:rFonts w:ascii="宋体" w:hAnsi="宋体"/>
          <w:color w:val="FF0000"/>
          <w:sz w:val="32"/>
          <w:szCs w:val="32"/>
        </w:rPr>
        <w:pict>
          <v:line id="直线 2" o:spid="_x0000_s1026" style="position:absolute;left:0;text-align:left;flip:y;z-index:251659264" from="-3.7pt,1.95pt" to="496.25pt,2.85pt" o:gfxdata="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fb2LXAAAABgEAAA8AAAAAAAAAAQAgAAAAIgAAAGRycy9kb3ducmV2Lnht&#10;bFBLAQIUABQAAAAIAIdO4kALD2L6+gEAAPcDAAAOAAAAAAAAAAEAIAAAACYBAABkcnMvZTJvRG9j&#10;LnhtbFBLBQYAAAAABgAGAFkBAACSBQAAAAA=&#10;" strokecolor="red"/>
        </w:pict>
      </w:r>
    </w:p>
    <w:p w:rsidR="00890D7B" w:rsidRDefault="00DF4E4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  <w:lang w:eastAsia="zh-CN"/>
        </w:rPr>
        <w:t>关于</w:t>
      </w:r>
      <w:r w:rsidR="00E54E0D">
        <w:rPr>
          <w:rFonts w:ascii="黑体" w:eastAsia="黑体" w:hAnsi="黑体" w:cs="黑体" w:hint="eastAsia"/>
          <w:sz w:val="44"/>
          <w:szCs w:val="44"/>
        </w:rPr>
        <w:t>长春市成泰热力有限责任公司</w:t>
      </w:r>
    </w:p>
    <w:p w:rsidR="00890D7B" w:rsidRDefault="00E54E0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长春吉电热力有限公司</w:t>
      </w:r>
    </w:p>
    <w:p w:rsidR="00890D7B" w:rsidRDefault="00E54E0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  <w:lang w:eastAsia="zh-CN"/>
        </w:rPr>
        <w:t>城镇</w:t>
      </w:r>
      <w:r>
        <w:rPr>
          <w:rFonts w:ascii="黑体" w:eastAsia="黑体" w:hAnsi="黑体" w:cs="黑体" w:hint="eastAsia"/>
          <w:sz w:val="44"/>
          <w:szCs w:val="44"/>
        </w:rPr>
        <w:t>供热定价成本监审报告</w:t>
      </w:r>
    </w:p>
    <w:p w:rsidR="00890D7B" w:rsidRDefault="00890D7B">
      <w:pPr>
        <w:spacing w:line="340" w:lineRule="atLeast"/>
        <w:rPr>
          <w:rFonts w:ascii="仿宋" w:eastAsia="仿宋" w:hAnsi="仿宋" w:cs="仿宋"/>
          <w:sz w:val="32"/>
        </w:rPr>
      </w:pP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0719F">
        <w:rPr>
          <w:rFonts w:ascii="仿宋" w:eastAsia="仿宋" w:hAnsi="仿宋" w:cs="仿宋" w:hint="eastAsia"/>
          <w:sz w:val="32"/>
          <w:szCs w:val="32"/>
        </w:rPr>
        <w:t>根据《中华人民共和国价格法》</w:t>
      </w:r>
      <w:r w:rsidRPr="00A0719F">
        <w:rPr>
          <w:rFonts w:ascii="仿宋" w:eastAsia="仿宋" w:hAnsi="仿宋" w:cs="仿宋" w:hint="eastAsia"/>
          <w:spacing w:val="-11"/>
          <w:sz w:val="32"/>
          <w:szCs w:val="32"/>
        </w:rPr>
        <w:t>、</w:t>
      </w:r>
      <w:r w:rsidRPr="00A0719F">
        <w:rPr>
          <w:rFonts w:ascii="仿宋" w:eastAsia="仿宋" w:hAnsi="仿宋" w:cs="仿宋" w:hint="eastAsia"/>
          <w:kern w:val="13"/>
          <w:sz w:val="32"/>
          <w:szCs w:val="32"/>
        </w:rPr>
        <w:t>《</w:t>
      </w:r>
      <w:r w:rsidRPr="00A0719F">
        <w:rPr>
          <w:rFonts w:ascii="仿宋" w:eastAsia="仿宋" w:hAnsi="仿宋" w:cs="仿宋" w:hint="eastAsia"/>
          <w:sz w:val="32"/>
          <w:szCs w:val="32"/>
        </w:rPr>
        <w:t>政府制定价格成本监审办法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》</w:t>
      </w:r>
      <w:r w:rsidRPr="00A0719F">
        <w:rPr>
          <w:rFonts w:ascii="仿宋" w:eastAsia="仿宋" w:hAnsi="仿宋" w:cs="仿宋" w:hint="eastAsia"/>
          <w:sz w:val="32"/>
          <w:szCs w:val="32"/>
        </w:rPr>
        <w:t>（国家发展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和</w:t>
      </w:r>
      <w:r w:rsidRPr="00A0719F">
        <w:rPr>
          <w:rFonts w:ascii="仿宋" w:eastAsia="仿宋" w:hAnsi="仿宋" w:cs="仿宋" w:hint="eastAsia"/>
          <w:sz w:val="32"/>
          <w:szCs w:val="32"/>
        </w:rPr>
        <w:t>改革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委员会</w:t>
      </w:r>
      <w:r w:rsidRPr="00A0719F">
        <w:rPr>
          <w:rFonts w:ascii="仿宋" w:eastAsia="仿宋" w:hAnsi="仿宋" w:cs="仿宋" w:hint="eastAsia"/>
          <w:sz w:val="32"/>
          <w:szCs w:val="32"/>
        </w:rPr>
        <w:t>令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[2017]</w:t>
      </w:r>
      <w:r w:rsidRPr="00A0719F">
        <w:rPr>
          <w:rFonts w:ascii="仿宋" w:eastAsia="仿宋" w:hAnsi="仿宋" w:cs="仿宋" w:hint="eastAsia"/>
          <w:sz w:val="32"/>
          <w:szCs w:val="32"/>
        </w:rPr>
        <w:t>第8号），202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 w:rsidRPr="00A0719F">
        <w:rPr>
          <w:rFonts w:ascii="仿宋" w:eastAsia="仿宋" w:hAnsi="仿宋" w:cs="仿宋" w:hint="eastAsia"/>
          <w:sz w:val="32"/>
          <w:szCs w:val="32"/>
        </w:rPr>
        <w:t>年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9</w:t>
      </w:r>
      <w:r w:rsidRPr="00A0719F">
        <w:rPr>
          <w:rFonts w:ascii="仿宋" w:eastAsia="仿宋" w:hAnsi="仿宋" w:cs="仿宋" w:hint="eastAsia"/>
          <w:sz w:val="32"/>
          <w:szCs w:val="32"/>
        </w:rPr>
        <w:t>月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16</w:t>
      </w:r>
      <w:r w:rsidRPr="00A0719F">
        <w:rPr>
          <w:rFonts w:ascii="仿宋" w:eastAsia="仿宋" w:hAnsi="仿宋" w:cs="仿宋" w:hint="eastAsia"/>
          <w:sz w:val="32"/>
          <w:szCs w:val="32"/>
        </w:rPr>
        <w:t>日至202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 w:rsidRPr="00A0719F">
        <w:rPr>
          <w:rFonts w:ascii="仿宋" w:eastAsia="仿宋" w:hAnsi="仿宋" w:cs="仿宋" w:hint="eastAsia"/>
          <w:sz w:val="32"/>
          <w:szCs w:val="32"/>
        </w:rPr>
        <w:t xml:space="preserve"> 年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10</w:t>
      </w:r>
      <w:r w:rsidRPr="00A0719F">
        <w:rPr>
          <w:rFonts w:ascii="仿宋" w:eastAsia="仿宋" w:hAnsi="仿宋" w:cs="仿宋" w:hint="eastAsia"/>
          <w:sz w:val="32"/>
          <w:szCs w:val="32"/>
        </w:rPr>
        <w:t>月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</w:t>
      </w:r>
      <w:r w:rsidR="00DF4E47">
        <w:rPr>
          <w:rFonts w:ascii="仿宋" w:eastAsia="仿宋" w:hAnsi="仿宋" w:cs="仿宋" w:hint="eastAsia"/>
          <w:sz w:val="32"/>
          <w:szCs w:val="32"/>
          <w:lang w:eastAsia="zh-CN"/>
        </w:rPr>
        <w:t>3</w:t>
      </w:r>
      <w:r w:rsidRPr="00A0719F">
        <w:rPr>
          <w:rFonts w:ascii="仿宋" w:eastAsia="仿宋" w:hAnsi="仿宋" w:cs="仿宋" w:hint="eastAsia"/>
          <w:sz w:val="32"/>
          <w:szCs w:val="32"/>
        </w:rPr>
        <w:t>日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，我局委托吉林光大</w:t>
      </w:r>
      <w:r w:rsidRPr="00A0719F">
        <w:rPr>
          <w:rFonts w:ascii="仿宋" w:eastAsia="仿宋" w:hAnsi="仿宋" w:cs="仿宋" w:hint="eastAsia"/>
          <w:sz w:val="32"/>
          <w:szCs w:val="32"/>
        </w:rPr>
        <w:t>会计师事务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有限公司</w:t>
      </w:r>
      <w:r w:rsidRPr="00A0719F">
        <w:rPr>
          <w:rFonts w:ascii="仿宋" w:eastAsia="仿宋" w:hAnsi="仿宋" w:cs="仿宋" w:hint="eastAsia"/>
          <w:sz w:val="32"/>
          <w:szCs w:val="32"/>
        </w:rPr>
        <w:t>对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长春市成泰热力有限责任公司（以下简称：成泰热力）和长春吉电热力有限公司（以下简称：吉电热力）2户供热企业2022-2024年采暖期的供热</w:t>
      </w:r>
      <w:r w:rsidRPr="00A0719F">
        <w:rPr>
          <w:rFonts w:ascii="仿宋" w:eastAsia="仿宋" w:hAnsi="仿宋" w:cs="仿宋" w:hint="eastAsia"/>
          <w:sz w:val="32"/>
          <w:szCs w:val="32"/>
        </w:rPr>
        <w:t>成本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进行了审核。依据《专项审核报告》</w:t>
      </w:r>
      <w:r w:rsidRPr="00A0719F">
        <w:rPr>
          <w:rFonts w:ascii="仿宋" w:eastAsia="仿宋" w:hAnsi="仿宋" w:hint="eastAsia"/>
          <w:sz w:val="32"/>
          <w:szCs w:val="32"/>
          <w:lang w:eastAsia="zh-CN"/>
        </w:rPr>
        <w:t>（</w:t>
      </w:r>
      <w:proofErr w:type="gramStart"/>
      <w:r w:rsidRPr="00A0719F">
        <w:rPr>
          <w:rFonts w:ascii="仿宋" w:eastAsia="仿宋" w:hAnsi="仿宋" w:hint="eastAsia"/>
          <w:sz w:val="32"/>
          <w:szCs w:val="32"/>
          <w:lang w:eastAsia="zh-CN"/>
        </w:rPr>
        <w:t>吉光审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字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[2025]第468号）、</w:t>
      </w:r>
      <w:r w:rsidRPr="00A0719F">
        <w:rPr>
          <w:rFonts w:ascii="仿宋" w:eastAsia="仿宋" w:hAnsi="仿宋" w:hint="eastAsia"/>
          <w:sz w:val="32"/>
          <w:szCs w:val="32"/>
          <w:lang w:eastAsia="zh-CN"/>
        </w:rPr>
        <w:t>（</w:t>
      </w:r>
      <w:proofErr w:type="gramStart"/>
      <w:r w:rsidRPr="00A0719F">
        <w:rPr>
          <w:rFonts w:ascii="仿宋" w:eastAsia="仿宋" w:hAnsi="仿宋" w:hint="eastAsia"/>
          <w:sz w:val="32"/>
          <w:szCs w:val="32"/>
          <w:lang w:eastAsia="zh-CN"/>
        </w:rPr>
        <w:t>吉光审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字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[2025]第469号），现将成本监审具体情况</w:t>
      </w:r>
      <w:r w:rsidRPr="00A0719F">
        <w:rPr>
          <w:rFonts w:ascii="仿宋" w:eastAsia="仿宋" w:hAnsi="仿宋" w:cs="仿宋" w:hint="eastAsia"/>
          <w:sz w:val="32"/>
          <w:szCs w:val="32"/>
        </w:rPr>
        <w:t xml:space="preserve">综述如下： </w:t>
      </w:r>
    </w:p>
    <w:p w:rsidR="00890D7B" w:rsidRPr="00A0719F" w:rsidRDefault="00E54E0D" w:rsidP="00DF4E47">
      <w:pPr>
        <w:numPr>
          <w:ilvl w:val="0"/>
          <w:numId w:val="1"/>
        </w:numPr>
        <w:spacing w:beforeLines="50" w:afterLines="50" w:line="540" w:lineRule="exact"/>
        <w:ind w:left="630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监审项目</w:t>
      </w:r>
    </w:p>
    <w:p w:rsidR="00890D7B" w:rsidRPr="00A0719F" w:rsidRDefault="00E54E0D" w:rsidP="00DF4E47">
      <w:pPr>
        <w:spacing w:beforeLines="50" w:afterLines="50" w:line="540" w:lineRule="exact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 xml:space="preserve">    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成泰热力和吉电热力2022-2024年采暖期供热定价</w:t>
      </w:r>
      <w:r w:rsidRPr="00A0719F">
        <w:rPr>
          <w:rFonts w:ascii="仿宋" w:eastAsia="仿宋" w:hAnsi="仿宋" w:cs="仿宋" w:hint="eastAsia"/>
          <w:sz w:val="32"/>
          <w:szCs w:val="32"/>
        </w:rPr>
        <w:t>成本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890D7B" w:rsidRPr="00A0719F" w:rsidRDefault="00E54E0D" w:rsidP="00DF4E47">
      <w:pPr>
        <w:numPr>
          <w:ilvl w:val="0"/>
          <w:numId w:val="2"/>
        </w:numPr>
        <w:spacing w:beforeLines="50" w:afterLines="50" w:line="54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lastRenderedPageBreak/>
        <w:t>监审</w:t>
      </w:r>
      <w:r w:rsidRPr="00A0719F">
        <w:rPr>
          <w:rFonts w:ascii="仿宋" w:eastAsia="仿宋" w:hAnsi="仿宋" w:cs="仿宋" w:hint="eastAsia"/>
          <w:b/>
          <w:bCs/>
          <w:sz w:val="32"/>
          <w:szCs w:val="32"/>
        </w:rPr>
        <w:t>依据</w:t>
      </w:r>
    </w:p>
    <w:p w:rsidR="00890D7B" w:rsidRPr="00A0719F" w:rsidRDefault="00E54E0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（一）</w:t>
      </w:r>
      <w:r w:rsidRPr="00A0719F">
        <w:rPr>
          <w:rFonts w:ascii="仿宋" w:eastAsia="仿宋" w:hAnsi="仿宋" w:cs="仿宋" w:hint="eastAsia"/>
          <w:sz w:val="32"/>
          <w:szCs w:val="32"/>
        </w:rPr>
        <w:t>《中华人民共和国价格法》；</w:t>
      </w:r>
    </w:p>
    <w:p w:rsidR="00890D7B" w:rsidRPr="00A0719F" w:rsidRDefault="00E54E0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（二）</w:t>
      </w:r>
      <w:r w:rsidRPr="00A0719F">
        <w:rPr>
          <w:rFonts w:ascii="仿宋" w:eastAsia="仿宋" w:hAnsi="仿宋" w:cs="仿宋" w:hint="eastAsia"/>
          <w:sz w:val="32"/>
          <w:szCs w:val="32"/>
        </w:rPr>
        <w:t>《政府制定价格成本监审办法》（国家发展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和</w:t>
      </w:r>
      <w:r w:rsidRPr="00A0719F">
        <w:rPr>
          <w:rFonts w:ascii="仿宋" w:eastAsia="仿宋" w:hAnsi="仿宋" w:cs="仿宋" w:hint="eastAsia"/>
          <w:sz w:val="32"/>
          <w:szCs w:val="32"/>
        </w:rPr>
        <w:t>改革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委员会</w:t>
      </w:r>
      <w:r w:rsidRPr="00A0719F">
        <w:rPr>
          <w:rFonts w:ascii="仿宋" w:eastAsia="仿宋" w:hAnsi="仿宋" w:cs="仿宋" w:hint="eastAsia"/>
          <w:sz w:val="32"/>
          <w:szCs w:val="32"/>
        </w:rPr>
        <w:t>令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[2017]</w:t>
      </w:r>
      <w:r w:rsidRPr="00A0719F">
        <w:rPr>
          <w:rFonts w:ascii="仿宋" w:eastAsia="仿宋" w:hAnsi="仿宋" w:cs="仿宋" w:hint="eastAsia"/>
          <w:sz w:val="32"/>
          <w:szCs w:val="32"/>
        </w:rPr>
        <w:t>第8号）；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（三）</w:t>
      </w:r>
      <w:r w:rsidRPr="00A0719F">
        <w:rPr>
          <w:rFonts w:ascii="仿宋" w:eastAsia="仿宋" w:hAnsi="仿宋" w:cs="仿宋" w:hint="eastAsia"/>
          <w:sz w:val="32"/>
          <w:szCs w:val="32"/>
        </w:rPr>
        <w:t>《吉林省政府制定价格成本监审引入第三方审核服务暂行办法》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（吉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省价审〔2017〕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251号）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；</w:t>
      </w:r>
    </w:p>
    <w:p w:rsidR="00890D7B" w:rsidRPr="00A0719F" w:rsidRDefault="00E54E0D">
      <w:pPr>
        <w:spacing w:line="540" w:lineRule="exact"/>
        <w:ind w:firstLineChars="196" w:firstLine="627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（四）</w:t>
      </w:r>
      <w:r w:rsidRPr="00A0719F">
        <w:rPr>
          <w:rFonts w:ascii="仿宋" w:eastAsia="仿宋" w:hAnsi="仿宋" w:cs="仿宋" w:hint="eastAsia"/>
          <w:sz w:val="32"/>
          <w:szCs w:val="32"/>
        </w:rPr>
        <w:t>《吉林省政府定价成本监审固定资产折旧技术操作规范（试行）》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（吉省价审〔201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〕2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36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号）</w:t>
      </w:r>
      <w:r w:rsidRPr="00A0719F">
        <w:rPr>
          <w:rFonts w:ascii="仿宋" w:eastAsia="仿宋" w:hAnsi="仿宋" w:cs="仿宋" w:hint="eastAsia"/>
          <w:sz w:val="32"/>
          <w:szCs w:val="32"/>
        </w:rPr>
        <w:t>；</w:t>
      </w:r>
    </w:p>
    <w:p w:rsidR="00890D7B" w:rsidRPr="00A0719F" w:rsidRDefault="00E54E0D">
      <w:pPr>
        <w:spacing w:line="540" w:lineRule="exact"/>
        <w:ind w:firstLineChars="196" w:firstLine="627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（五）</w:t>
      </w:r>
      <w:r w:rsidRPr="00A0719F">
        <w:rPr>
          <w:rFonts w:ascii="仿宋" w:eastAsia="仿宋" w:hAnsi="仿宋" w:cs="仿宋" w:hint="eastAsia"/>
          <w:sz w:val="32"/>
          <w:szCs w:val="32"/>
        </w:rPr>
        <w:t>《吉林省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城市供热定价成本监审办法</w:t>
      </w:r>
      <w:r w:rsidRPr="00A0719F">
        <w:rPr>
          <w:rFonts w:ascii="仿宋" w:eastAsia="仿宋" w:hAnsi="仿宋" w:cs="仿宋" w:hint="eastAsia"/>
          <w:sz w:val="32"/>
          <w:szCs w:val="32"/>
        </w:rPr>
        <w:t>（试行）》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（吉省价审〔201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〕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237</w:t>
      </w:r>
      <w:r w:rsidRPr="00A0719F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号）</w:t>
      </w:r>
      <w:r w:rsidRPr="00A0719F">
        <w:rPr>
          <w:rFonts w:ascii="仿宋" w:eastAsia="仿宋" w:hAnsi="仿宋" w:cs="仿宋" w:hint="eastAsia"/>
          <w:sz w:val="32"/>
          <w:szCs w:val="32"/>
        </w:rPr>
        <w:t>；</w:t>
      </w:r>
    </w:p>
    <w:p w:rsidR="00890D7B" w:rsidRPr="00A0719F" w:rsidRDefault="00E54E0D">
      <w:pPr>
        <w:spacing w:line="54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（六）</w:t>
      </w:r>
      <w:r w:rsidRPr="00A0719F">
        <w:rPr>
          <w:rFonts w:ascii="仿宋" w:eastAsia="仿宋" w:hAnsi="仿宋" w:cs="仿宋" w:hint="eastAsia"/>
          <w:sz w:val="32"/>
          <w:szCs w:val="32"/>
        </w:rPr>
        <w:t>《中华人民共和国会计法》；</w:t>
      </w:r>
    </w:p>
    <w:p w:rsidR="00890D7B" w:rsidRPr="00A0719F" w:rsidRDefault="00E54E0D">
      <w:pPr>
        <w:spacing w:line="54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（七）</w:t>
      </w:r>
      <w:r w:rsidRPr="00A0719F">
        <w:rPr>
          <w:rFonts w:ascii="仿宋" w:eastAsia="仿宋" w:hAnsi="仿宋" w:cs="仿宋" w:hint="eastAsia"/>
          <w:sz w:val="32"/>
          <w:szCs w:val="32"/>
        </w:rPr>
        <w:t>《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企业</w:t>
      </w:r>
      <w:r w:rsidRPr="00A0719F">
        <w:rPr>
          <w:rFonts w:ascii="仿宋" w:eastAsia="仿宋" w:hAnsi="仿宋" w:cs="仿宋" w:hint="eastAsia"/>
          <w:sz w:val="32"/>
          <w:szCs w:val="32"/>
        </w:rPr>
        <w:t>会计制度》；</w:t>
      </w:r>
    </w:p>
    <w:p w:rsidR="00890D7B" w:rsidRPr="00A0719F" w:rsidRDefault="00E54E0D">
      <w:pPr>
        <w:spacing w:line="540" w:lineRule="exact"/>
        <w:ind w:firstLineChars="196" w:firstLine="627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（八）</w:t>
      </w:r>
      <w:r w:rsidRPr="00A0719F">
        <w:rPr>
          <w:rFonts w:ascii="仿宋" w:eastAsia="仿宋" w:hAnsi="仿宋" w:cs="仿宋" w:hint="eastAsia"/>
          <w:sz w:val="32"/>
          <w:szCs w:val="32"/>
        </w:rPr>
        <w:t>《企业会计准则》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；</w:t>
      </w:r>
    </w:p>
    <w:p w:rsidR="00890D7B" w:rsidRPr="00A0719F" w:rsidRDefault="00E54E0D">
      <w:pPr>
        <w:spacing w:line="540" w:lineRule="exact"/>
        <w:ind w:firstLineChars="196" w:firstLine="627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（九）</w:t>
      </w:r>
      <w:r w:rsidRPr="00A0719F">
        <w:rPr>
          <w:rFonts w:ascii="仿宋" w:eastAsia="仿宋" w:hAnsi="仿宋" w:cs="仿宋" w:hint="eastAsia"/>
          <w:sz w:val="32"/>
          <w:szCs w:val="32"/>
        </w:rPr>
        <w:t>其他有关财务规定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；</w:t>
      </w:r>
    </w:p>
    <w:p w:rsidR="00890D7B" w:rsidRPr="00A0719F" w:rsidRDefault="00E54E0D">
      <w:pPr>
        <w:spacing w:line="540" w:lineRule="exact"/>
        <w:ind w:firstLineChars="196" w:firstLine="627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（十）</w:t>
      </w:r>
      <w:r w:rsidRPr="00A0719F">
        <w:rPr>
          <w:rFonts w:ascii="仿宋" w:eastAsia="仿宋" w:hAnsi="仿宋" w:cs="仿宋" w:hint="eastAsia"/>
          <w:sz w:val="32"/>
          <w:szCs w:val="32"/>
        </w:rPr>
        <w:t>被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监</w:t>
      </w:r>
      <w:r w:rsidRPr="00A0719F">
        <w:rPr>
          <w:rFonts w:ascii="仿宋" w:eastAsia="仿宋" w:hAnsi="仿宋" w:cs="仿宋" w:hint="eastAsia"/>
          <w:sz w:val="32"/>
          <w:szCs w:val="32"/>
        </w:rPr>
        <w:t>审单位提供的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审计报告、财务报表等相关</w:t>
      </w:r>
      <w:r w:rsidRPr="00A0719F">
        <w:rPr>
          <w:rFonts w:ascii="仿宋" w:eastAsia="仿宋" w:hAnsi="仿宋" w:cs="仿宋" w:hint="eastAsia"/>
          <w:sz w:val="32"/>
          <w:szCs w:val="32"/>
        </w:rPr>
        <w:t>资料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 w:rsidR="00890D7B" w:rsidRPr="00A0719F" w:rsidRDefault="00E54E0D" w:rsidP="00DF4E47">
      <w:pPr>
        <w:spacing w:beforeLines="50" w:afterLines="50"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</w:rPr>
        <w:t>三、</w:t>
      </w: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监审原则和</w:t>
      </w:r>
      <w:r w:rsidRPr="00A0719F">
        <w:rPr>
          <w:rFonts w:ascii="仿宋" w:eastAsia="仿宋" w:hAnsi="仿宋" w:cs="仿宋" w:hint="eastAsia"/>
          <w:b/>
          <w:bCs/>
          <w:sz w:val="32"/>
          <w:szCs w:val="32"/>
        </w:rPr>
        <w:t>程序</w:t>
      </w:r>
    </w:p>
    <w:p w:rsidR="00890D7B" w:rsidRPr="00A0719F" w:rsidRDefault="00E54E0D" w:rsidP="00A0719F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审核成泰热力、吉电热力城镇供热成本按照合法性、相关性、合理性、权责发生制原则，依据规定的程序进行。通过政府购买第三</w:t>
      </w:r>
      <w:proofErr w:type="gramStart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方服务</w:t>
      </w:r>
      <w:proofErr w:type="gramEnd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方式，聘用吉林光大会计师事务有限公司负责本次成本审核工作，签订《成本审核服务合同》和《成本审核服务保密承诺书》，</w:t>
      </w:r>
      <w:proofErr w:type="gramStart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明确第三</w:t>
      </w:r>
      <w:proofErr w:type="gramEnd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方审核服务工作目标和要求，审核依据、原则、方法和标准，对企业提供供热成本申报数据进行资料初审、实地审核，</w:t>
      </w:r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lastRenderedPageBreak/>
        <w:t>根据第三方提供的专项审核报告形成初步监审结论，意见告知，集体审议，出具成本监审报告。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 xml:space="preserve"> </w:t>
      </w:r>
    </w:p>
    <w:p w:rsidR="00890D7B" w:rsidRPr="00A0719F" w:rsidRDefault="00E54E0D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四、经营者基本情况</w:t>
      </w:r>
    </w:p>
    <w:p w:rsidR="00890D7B" w:rsidRPr="00A0719F" w:rsidRDefault="00E54E0D" w:rsidP="00A0719F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0719F">
        <w:rPr>
          <w:rFonts w:ascii="仿宋" w:eastAsia="仿宋" w:hAnsi="仿宋" w:cs="仿宋_GB2312" w:hint="eastAsia"/>
          <w:sz w:val="32"/>
          <w:szCs w:val="32"/>
        </w:rPr>
        <w:t>长春市成泰热力有限责任公司于2006年4月28日成立，统一社会信用代码1220112785910492Y；住所：双阳区平湖街道办事处宋家村一社；法定代表人：谢利民；注册资本：壹亿贰千万元整。</w:t>
      </w:r>
    </w:p>
    <w:p w:rsidR="00890D7B" w:rsidRPr="00A0719F" w:rsidRDefault="00E54E0D">
      <w:pPr>
        <w:spacing w:line="540" w:lineRule="exact"/>
        <w:ind w:firstLine="720"/>
        <w:jc w:val="both"/>
        <w:rPr>
          <w:rFonts w:ascii="仿宋" w:eastAsia="仿宋" w:hAnsi="仿宋" w:cs="仿宋_GB2312"/>
          <w:sz w:val="32"/>
          <w:szCs w:val="32"/>
          <w:lang w:eastAsia="zh-CN"/>
        </w:rPr>
      </w:pPr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长春吉电热力有限公司于2014年11月5日成立，统一社会信用代码91220112310035081M；住所：长春市双阳区</w:t>
      </w:r>
      <w:proofErr w:type="gramStart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奢</w:t>
      </w:r>
      <w:proofErr w:type="gramEnd"/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岭街道办事处长清公路21公里处；法定代表人：李宏岩；注册资本：玖仟叁佰叁拾伍万元整。</w:t>
      </w:r>
    </w:p>
    <w:p w:rsidR="00890D7B" w:rsidRPr="00A0719F" w:rsidRDefault="00E54E0D" w:rsidP="00DF4E47">
      <w:pPr>
        <w:tabs>
          <w:tab w:val="left" w:pos="570"/>
        </w:tabs>
        <w:spacing w:beforeLines="50" w:afterLines="50" w:line="540" w:lineRule="exact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五、经营者成本审核情况</w:t>
      </w:r>
    </w:p>
    <w:p w:rsidR="00890D7B" w:rsidRPr="00A0719F" w:rsidRDefault="00E54E0D">
      <w:pPr>
        <w:numPr>
          <w:ilvl w:val="0"/>
          <w:numId w:val="3"/>
        </w:num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成本构成情况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本次审核的供热定价成本由生产成本、管理费用、财务费用和税金及附加构成。</w:t>
      </w:r>
    </w:p>
    <w:p w:rsidR="00890D7B" w:rsidRPr="00A0719F" w:rsidRDefault="00E54E0D">
      <w:pPr>
        <w:numPr>
          <w:ilvl w:val="0"/>
          <w:numId w:val="3"/>
        </w:num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成本调整情况</w:t>
      </w:r>
      <w:bookmarkStart w:id="0" w:name="_GoBack"/>
      <w:bookmarkEnd w:id="0"/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根据成本监审相关规定，我们核减了超出规定标准的维修费、职工薪酬、固定资产折旧、财务费用及与供热无关的费用等，从总成本中扣减了供热相关补贴收入。</w:t>
      </w:r>
    </w:p>
    <w:p w:rsidR="00890D7B" w:rsidRPr="00A0719F" w:rsidRDefault="00E54E0D" w:rsidP="00A0719F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_GB2312" w:hint="eastAsia"/>
          <w:sz w:val="32"/>
          <w:szCs w:val="32"/>
        </w:rPr>
        <w:t>成泰热力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供热企业2022年采暖期申报供热总成本为181,386,909.</w:t>
      </w:r>
      <w:r w:rsidR="002277B4">
        <w:rPr>
          <w:rFonts w:ascii="仿宋" w:eastAsia="仿宋" w:hAnsi="仿宋" w:cs="仿宋" w:hint="eastAsia"/>
          <w:sz w:val="32"/>
          <w:szCs w:val="32"/>
          <w:lang w:eastAsia="zh-CN"/>
        </w:rPr>
        <w:t>57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元，核减供热总成本为28,877,856.85元，核定供热总成本为152,509,052.7元；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2023年采暖期申报供热总成本为192,402,148.</w:t>
      </w:r>
      <w:r w:rsidR="00004E81">
        <w:rPr>
          <w:rFonts w:ascii="仿宋" w:eastAsia="仿宋" w:hAnsi="仿宋" w:cs="仿宋" w:hint="eastAsia"/>
          <w:sz w:val="32"/>
          <w:szCs w:val="32"/>
          <w:lang w:eastAsia="zh-CN"/>
        </w:rPr>
        <w:t>17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元，核减供热总成本为37,974,977.02元，核定供热总成本为154,427,171.</w:t>
      </w:r>
      <w:r w:rsidR="00004E81">
        <w:rPr>
          <w:rFonts w:ascii="仿宋" w:eastAsia="仿宋" w:hAnsi="仿宋" w:cs="仿宋" w:hint="eastAsia"/>
          <w:sz w:val="32"/>
          <w:szCs w:val="32"/>
          <w:lang w:eastAsia="zh-CN"/>
        </w:rPr>
        <w:t>15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元；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2024年采暖期申报供热总成本为183,743,889.1元，核减供热总成本为33,887,266.87元，核定供热总成本为149,856,622.2元。</w:t>
      </w:r>
    </w:p>
    <w:p w:rsidR="00890D7B" w:rsidRPr="00A0719F" w:rsidRDefault="00E54E0D" w:rsidP="00A0719F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_GB2312" w:hint="eastAsia"/>
          <w:sz w:val="32"/>
          <w:szCs w:val="32"/>
          <w:lang w:eastAsia="zh-CN"/>
        </w:rPr>
        <w:t>吉电热力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供热企业2022年采暖期申报供热总成本为48,003,161.27元，核减供热总成本为22,321,992.56元，核定供热总成本为25,681,168.71元；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2023年采暖期申报供热总成本为47,342,453.72元，核减供热总成本为25,663,099.51元，核定供热总成本为21,679,354.21元；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2024年采暖期申报供热总成本为</w:t>
      </w:r>
      <w:r w:rsidR="007367D8">
        <w:rPr>
          <w:rFonts w:ascii="仿宋" w:eastAsia="仿宋" w:hAnsi="仿宋" w:cs="仿宋" w:hint="eastAsia"/>
          <w:sz w:val="32"/>
          <w:szCs w:val="32"/>
          <w:lang w:eastAsia="zh-CN"/>
        </w:rPr>
        <w:t>41,1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39,728.</w:t>
      </w:r>
      <w:r w:rsidR="0030383B">
        <w:rPr>
          <w:rFonts w:ascii="仿宋" w:eastAsia="仿宋" w:hAnsi="仿宋" w:cs="仿宋" w:hint="eastAsia"/>
          <w:sz w:val="32"/>
          <w:szCs w:val="32"/>
          <w:lang w:eastAsia="zh-CN"/>
        </w:rPr>
        <w:t>57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元，核减供热总成本为</w:t>
      </w:r>
      <w:r w:rsidR="008F1809">
        <w:rPr>
          <w:rFonts w:ascii="仿宋" w:eastAsia="仿宋" w:hAnsi="仿宋" w:cs="仿宋" w:hint="eastAsia"/>
          <w:sz w:val="32"/>
          <w:szCs w:val="32"/>
          <w:lang w:eastAsia="zh-CN"/>
        </w:rPr>
        <w:t>18,960,573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.84元，核定供热总成本为22,179,154.73元。</w:t>
      </w:r>
    </w:p>
    <w:p w:rsidR="00890D7B" w:rsidRPr="00A0719F" w:rsidRDefault="00E54E0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（三）面积调整情况</w:t>
      </w:r>
    </w:p>
    <w:p w:rsidR="00890D7B" w:rsidRPr="00A0719F" w:rsidRDefault="00E54E0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将基本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热费面积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按照20%折算成开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面积计入开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总面积。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成泰热力供热企业2022年采暖期开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总面积为5,107,396.35平方米，核增开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面积为256,381.6平方米，核定开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总面积为5,363,777.95平方米；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2023年采暖期开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总面积为5,031,962.62平方米，核增开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面积为345,485.3平方米，核定开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总面积为5,377,447.92平方米；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2024年采暖期开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总面积为5,124,604.42平方米，核增开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</w:t>
      </w:r>
      <w:r w:rsidR="00274FE1" w:rsidRPr="00A0719F">
        <w:rPr>
          <w:rFonts w:ascii="仿宋" w:eastAsia="仿宋" w:hAnsi="仿宋" w:cs="仿宋" w:hint="eastAsia"/>
          <w:sz w:val="32"/>
          <w:szCs w:val="32"/>
          <w:lang w:eastAsia="zh-CN"/>
        </w:rPr>
        <w:t>343,732.10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总面积为5,468,336.52平方米。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吉电热力供热企业2022年采暖期开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总面积为895,207.35平方米，核增开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面积为48,920.00平方米，核定开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总面积为944，127.35平方米；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2023年采暖期开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总面积为725,590.75平方米，核增开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面积为91,960.00平方米，核定开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总面积为817,550.75平方米；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2024年采暖期开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总面积为661,034.16平方米，核增开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面积为97,380.00平方米，核定开</w:t>
      </w:r>
      <w:proofErr w:type="gramStart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栓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总面积为758,414.16平方米。</w:t>
      </w:r>
    </w:p>
    <w:p w:rsidR="00890D7B" w:rsidRPr="00A0719F" w:rsidRDefault="00E54E0D">
      <w:pPr>
        <w:spacing w:line="540" w:lineRule="exact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六、2022-2024年（2022.05.1-2025.04.30）采暖期供热成本监审结论</w:t>
      </w:r>
    </w:p>
    <w:p w:rsidR="00890D7B" w:rsidRPr="00A0719F" w:rsidRDefault="00E54E0D">
      <w:pPr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成泰热力供热企业三年平均单位供热成本（含税）28.18元/㎡；</w:t>
      </w:r>
    </w:p>
    <w:p w:rsidR="00890D7B" w:rsidRPr="00A0719F" w:rsidRDefault="00E54E0D">
      <w:pPr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成泰热力供热企业三年平均单位供热成本（不含税）26.49元/㎡；</w:t>
      </w:r>
    </w:p>
    <w:p w:rsidR="00890D7B" w:rsidRPr="00A0719F" w:rsidRDefault="00E54E0D">
      <w:pPr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吉电热力供热企业三年平均单位供热成本（含税）27.6</w:t>
      </w:r>
      <w:r w:rsidR="00094C6A">
        <w:rPr>
          <w:rFonts w:ascii="仿宋" w:eastAsia="仿宋" w:hAnsi="仿宋" w:cs="仿宋" w:hint="eastAsia"/>
          <w:sz w:val="32"/>
          <w:szCs w:val="32"/>
          <w:lang w:eastAsia="zh-CN"/>
        </w:rPr>
        <w:t>5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元/㎡；</w:t>
      </w:r>
    </w:p>
    <w:p w:rsidR="00890D7B" w:rsidRPr="00A0719F" w:rsidRDefault="00E54E0D">
      <w:pPr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吉电热力供热企业三年平均单位供热成本（不含税）27.05元/㎡。</w:t>
      </w:r>
    </w:p>
    <w:p w:rsidR="00890D7B" w:rsidRPr="00A0719F" w:rsidRDefault="00E54E0D">
      <w:pPr>
        <w:spacing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七、供热成本核定表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（见附表）</w:t>
      </w:r>
    </w:p>
    <w:p w:rsidR="00890D7B" w:rsidRPr="00A0719F" w:rsidRDefault="00E54E0D" w:rsidP="00DF4E47">
      <w:pPr>
        <w:spacing w:beforeLines="50" w:afterLines="50"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八、其他需要说明的事项</w:t>
      </w:r>
    </w:p>
    <w:p w:rsidR="00890D7B" w:rsidRPr="00A0719F" w:rsidRDefault="00E54E0D">
      <w:pPr>
        <w:tabs>
          <w:tab w:val="left" w:pos="7230"/>
        </w:tabs>
        <w:spacing w:line="540" w:lineRule="exact"/>
        <w:ind w:right="17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hint="eastAsia"/>
          <w:sz w:val="32"/>
          <w:szCs w:val="32"/>
          <w:lang w:eastAsia="zh-CN"/>
        </w:rPr>
        <w:t>（一）双阳区共有七家供热企业，成泰热力在网面积占城镇在网面积的93%，占全区在网面积的56.18%，因此成泰热力核算的单位供热成本具有代表性。</w:t>
      </w:r>
    </w:p>
    <w:p w:rsidR="00890D7B" w:rsidRPr="00A0719F" w:rsidRDefault="00E54E0D">
      <w:pPr>
        <w:tabs>
          <w:tab w:val="left" w:pos="7230"/>
        </w:tabs>
        <w:spacing w:line="540" w:lineRule="exact"/>
        <w:ind w:right="17"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（二）基本热费面积按照20%已折算计入开栓面积，</w:t>
      </w:r>
      <w:r w:rsidR="004B6C07" w:rsidRPr="00A0719F">
        <w:rPr>
          <w:rFonts w:ascii="仿宋" w:eastAsia="仿宋" w:hAnsi="仿宋" w:cs="仿宋" w:hint="eastAsia"/>
          <w:sz w:val="32"/>
          <w:szCs w:val="32"/>
          <w:lang w:eastAsia="zh-CN"/>
        </w:rPr>
        <w:t>每年</w:t>
      </w:r>
      <w:r w:rsidR="00F83084">
        <w:rPr>
          <w:rFonts w:ascii="仿宋" w:eastAsia="仿宋" w:hAnsi="仿宋" w:cs="仿宋" w:hint="eastAsia"/>
          <w:sz w:val="32"/>
          <w:szCs w:val="32"/>
          <w:lang w:eastAsia="zh-CN"/>
        </w:rPr>
        <w:t>采暖期</w:t>
      </w:r>
      <w:r w:rsidR="004B6C07" w:rsidRPr="00A0719F">
        <w:rPr>
          <w:rFonts w:ascii="仿宋" w:eastAsia="仿宋" w:hAnsi="仿宋" w:cs="仿宋" w:hint="eastAsia"/>
          <w:sz w:val="32"/>
          <w:szCs w:val="32"/>
          <w:lang w:eastAsia="zh-CN"/>
        </w:rPr>
        <w:t>平均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增加开栓面积共</w:t>
      </w:r>
      <w:r w:rsidR="004B6C07" w:rsidRPr="00A0719F">
        <w:rPr>
          <w:rFonts w:ascii="仿宋" w:eastAsia="仿宋" w:hAnsi="仿宋" w:cs="仿宋" w:hint="eastAsia"/>
          <w:sz w:val="32"/>
          <w:szCs w:val="32"/>
          <w:lang w:eastAsia="zh-CN"/>
        </w:rPr>
        <w:t>394,619.7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平方米，其中成泰热力增加开栓面积为</w:t>
      </w:r>
      <w:r w:rsidR="004B6C07" w:rsidRPr="00A0719F">
        <w:rPr>
          <w:rFonts w:ascii="仿宋" w:eastAsia="仿宋" w:hAnsi="仿宋" w:cs="仿宋" w:hint="eastAsia"/>
          <w:sz w:val="32"/>
          <w:szCs w:val="32"/>
          <w:lang w:eastAsia="zh-CN"/>
        </w:rPr>
        <w:t>315,199.7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平方米，吉电热力增加开栓面积为</w:t>
      </w:r>
      <w:r w:rsidR="004B6C07" w:rsidRPr="00A0719F">
        <w:rPr>
          <w:rFonts w:ascii="仿宋" w:eastAsia="仿宋" w:hAnsi="仿宋" w:cs="仿宋" w:hint="eastAsia"/>
          <w:sz w:val="32"/>
          <w:szCs w:val="32"/>
          <w:lang w:eastAsia="zh-CN"/>
        </w:rPr>
        <w:t>79,420.00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平方米。</w:t>
      </w:r>
    </w:p>
    <w:p w:rsidR="00890D7B" w:rsidRPr="00A0719F" w:rsidRDefault="00E54E0D">
      <w:pPr>
        <w:widowControl w:val="0"/>
        <w:autoSpaceDE w:val="0"/>
        <w:autoSpaceDN w:val="0"/>
        <w:adjustRightInd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A0719F">
        <w:rPr>
          <w:rFonts w:ascii="仿宋" w:eastAsia="仿宋" w:hAnsi="仿宋" w:hint="eastAsia"/>
          <w:sz w:val="32"/>
          <w:szCs w:val="32"/>
          <w:lang w:eastAsia="zh-CN"/>
        </w:rPr>
        <w:t>（三）本次核算的单位成本为居民和非居民的综合单位成本。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（四）被监审单位所提供相关成本资料的真实性、合法性、完整性由被监审单位负责。</w:t>
      </w:r>
    </w:p>
    <w:p w:rsidR="00890D7B" w:rsidRPr="00A0719F" w:rsidRDefault="00E54E0D">
      <w:pPr>
        <w:widowControl w:val="0"/>
        <w:autoSpaceDE w:val="0"/>
        <w:autoSpaceDN w:val="0"/>
        <w:adjustRightInd w:val="0"/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（五）</w:t>
      </w:r>
      <w:r w:rsidR="0001787D" w:rsidRPr="00A0719F">
        <w:rPr>
          <w:rFonts w:ascii="仿宋" w:eastAsia="仿宋" w:hAnsi="仿宋" w:cs="仿宋" w:hint="eastAsia"/>
          <w:sz w:val="32"/>
          <w:szCs w:val="32"/>
          <w:lang w:eastAsia="zh-CN"/>
        </w:rPr>
        <w:t>吉林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光大</w:t>
      </w:r>
      <w:r w:rsidRPr="00A0719F">
        <w:rPr>
          <w:rFonts w:ascii="仿宋" w:eastAsia="仿宋" w:hAnsi="仿宋" w:cs="仿宋" w:hint="eastAsia"/>
          <w:sz w:val="32"/>
          <w:szCs w:val="32"/>
        </w:rPr>
        <w:t>会计师事务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有限公司对其所出具的《专项</w:t>
      </w:r>
      <w:r w:rsidRPr="00A0719F">
        <w:rPr>
          <w:rFonts w:ascii="仿宋" w:eastAsia="仿宋" w:hAnsi="仿宋" w:hint="eastAsia"/>
          <w:sz w:val="32"/>
          <w:szCs w:val="32"/>
          <w:lang w:eastAsia="zh-CN"/>
        </w:rPr>
        <w:t>审核报告》（</w:t>
      </w:r>
      <w:proofErr w:type="gramStart"/>
      <w:r w:rsidRPr="00A0719F">
        <w:rPr>
          <w:rFonts w:ascii="仿宋" w:eastAsia="仿宋" w:hAnsi="仿宋" w:hint="eastAsia"/>
          <w:sz w:val="32"/>
          <w:szCs w:val="32"/>
          <w:lang w:eastAsia="zh-CN"/>
        </w:rPr>
        <w:t>吉光审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字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[2025]第468号）</w:t>
      </w:r>
      <w:r w:rsidR="00BE48EA" w:rsidRPr="00A0719F">
        <w:rPr>
          <w:rFonts w:ascii="仿宋" w:eastAsia="仿宋" w:hAnsi="仿宋" w:cs="仿宋" w:hint="eastAsia"/>
          <w:sz w:val="32"/>
          <w:szCs w:val="32"/>
          <w:lang w:eastAsia="zh-CN"/>
        </w:rPr>
        <w:t>、</w:t>
      </w:r>
      <w:r w:rsidRPr="00A0719F">
        <w:rPr>
          <w:rFonts w:ascii="仿宋" w:eastAsia="仿宋" w:hAnsi="仿宋" w:hint="eastAsia"/>
          <w:sz w:val="32"/>
          <w:szCs w:val="32"/>
          <w:lang w:eastAsia="zh-CN"/>
        </w:rPr>
        <w:t>（</w:t>
      </w:r>
      <w:proofErr w:type="gramStart"/>
      <w:r w:rsidRPr="00A0719F">
        <w:rPr>
          <w:rFonts w:ascii="仿宋" w:eastAsia="仿宋" w:hAnsi="仿宋" w:hint="eastAsia"/>
          <w:sz w:val="32"/>
          <w:szCs w:val="32"/>
          <w:lang w:eastAsia="zh-CN"/>
        </w:rPr>
        <w:t>吉光审</w:t>
      </w: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字</w:t>
      </w:r>
      <w:proofErr w:type="gramEnd"/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[2025]第469号）的真实性、合法性、完整性负责。</w:t>
      </w:r>
    </w:p>
    <w:p w:rsidR="00890D7B" w:rsidRPr="00A0719F" w:rsidRDefault="00E54E0D">
      <w:pPr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（六）参加本次成本监审的工作人员与被监审单位无任何利害关系。</w:t>
      </w:r>
    </w:p>
    <w:p w:rsidR="00890D7B" w:rsidRPr="00A0719F" w:rsidRDefault="00E54E0D">
      <w:pPr>
        <w:spacing w:line="540" w:lineRule="exact"/>
        <w:ind w:firstLine="640"/>
        <w:jc w:val="both"/>
        <w:rPr>
          <w:rFonts w:ascii="仿宋" w:eastAsia="仿宋" w:hAnsi="仿宋" w:cs="仿宋"/>
          <w:sz w:val="32"/>
          <w:szCs w:val="32"/>
          <w:lang w:eastAsia="zh-CN"/>
        </w:rPr>
      </w:pPr>
      <w:r w:rsidRPr="00A0719F">
        <w:rPr>
          <w:rFonts w:ascii="仿宋" w:eastAsia="仿宋" w:hAnsi="仿宋" w:cs="仿宋" w:hint="eastAsia"/>
          <w:sz w:val="32"/>
          <w:szCs w:val="32"/>
          <w:lang w:eastAsia="zh-CN"/>
        </w:rPr>
        <w:t>（七）本报告仅为此次调整双阳区供热价格提供成本依据。其他任何单位和个人引用本报告内容，可能会出现由于核算指标等概念的不同形成误差，本报告制作单位不承担责任。</w:t>
      </w:r>
    </w:p>
    <w:p w:rsidR="00890D7B" w:rsidRPr="00A0719F" w:rsidRDefault="00890D7B">
      <w:pPr>
        <w:spacing w:line="540" w:lineRule="exact"/>
        <w:rPr>
          <w:rFonts w:ascii="仿宋" w:eastAsia="仿宋" w:hAnsi="仿宋" w:cs="仿宋"/>
          <w:sz w:val="32"/>
          <w:szCs w:val="32"/>
          <w:lang w:eastAsia="zh-CN"/>
        </w:rPr>
      </w:pPr>
    </w:p>
    <w:p w:rsidR="00297478" w:rsidRDefault="00297478" w:rsidP="00297478">
      <w:pPr>
        <w:spacing w:line="540" w:lineRule="exact"/>
        <w:ind w:firstLineChars="1300" w:firstLine="4160"/>
        <w:rPr>
          <w:rFonts w:ascii="仿宋" w:eastAsia="仿宋" w:hAnsi="仿宋" w:cs="仿宋"/>
          <w:sz w:val="32"/>
          <w:szCs w:val="32"/>
          <w:lang w:eastAsia="zh-CN"/>
        </w:rPr>
      </w:pPr>
    </w:p>
    <w:p w:rsidR="00890D7B" w:rsidRDefault="00E54E0D" w:rsidP="00297478">
      <w:pPr>
        <w:spacing w:line="540" w:lineRule="exact"/>
        <w:ind w:firstLineChars="900" w:firstLine="288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长春市双阳区发展和改革局</w:t>
      </w:r>
    </w:p>
    <w:p w:rsidR="00890D7B" w:rsidRDefault="00297478" w:rsidP="00106A89">
      <w:pPr>
        <w:spacing w:line="540" w:lineRule="exact"/>
        <w:jc w:val="center"/>
        <w:rPr>
          <w:rFonts w:ascii="仿宋_GB2312" w:eastAsia="仿宋_GB2312" w:hAnsi="Arial Narrow" w:cs="仿宋_GB2312"/>
          <w:color w:val="000000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   </w:t>
      </w:r>
      <w:r w:rsidR="00E54E0D">
        <w:rPr>
          <w:rFonts w:ascii="仿宋" w:eastAsia="仿宋" w:hAnsi="仿宋" w:cs="仿宋" w:hint="eastAsia"/>
          <w:sz w:val="32"/>
          <w:szCs w:val="32"/>
          <w:lang w:eastAsia="zh-CN"/>
        </w:rPr>
        <w:t xml:space="preserve">  </w:t>
      </w:r>
      <w:r w:rsidR="00E54E0D">
        <w:rPr>
          <w:rFonts w:eastAsia="仿宋"/>
          <w:sz w:val="32"/>
          <w:szCs w:val="32"/>
          <w:lang w:eastAsia="zh-CN"/>
        </w:rPr>
        <w:t>2025</w:t>
      </w:r>
      <w:r w:rsidR="00E54E0D">
        <w:rPr>
          <w:rFonts w:eastAsia="仿宋"/>
          <w:sz w:val="32"/>
          <w:szCs w:val="32"/>
        </w:rPr>
        <w:t>年</w:t>
      </w:r>
      <w:r w:rsidR="00E54E0D">
        <w:rPr>
          <w:rFonts w:eastAsia="仿宋"/>
          <w:sz w:val="32"/>
          <w:szCs w:val="32"/>
          <w:lang w:eastAsia="zh-CN"/>
        </w:rPr>
        <w:t>11</w:t>
      </w:r>
      <w:r w:rsidR="00E54E0D">
        <w:rPr>
          <w:rFonts w:eastAsia="仿宋"/>
          <w:sz w:val="32"/>
          <w:szCs w:val="32"/>
        </w:rPr>
        <w:t>月</w:t>
      </w:r>
      <w:r w:rsidR="00E54E0D">
        <w:rPr>
          <w:rFonts w:eastAsia="仿宋"/>
          <w:sz w:val="32"/>
          <w:szCs w:val="32"/>
          <w:lang w:eastAsia="zh-CN"/>
        </w:rPr>
        <w:t>5</w:t>
      </w:r>
      <w:r w:rsidR="00E54E0D">
        <w:rPr>
          <w:rFonts w:eastAsia="仿宋" w:hint="eastAsia"/>
          <w:sz w:val="32"/>
          <w:szCs w:val="32"/>
          <w:lang w:eastAsia="zh-CN"/>
        </w:rPr>
        <w:t>日</w:t>
      </w:r>
    </w:p>
    <w:tbl>
      <w:tblPr>
        <w:tblpPr w:leftFromText="180" w:rightFromText="180" w:vertAnchor="text" w:horzAnchor="page" w:tblpX="1454" w:tblpY="536"/>
        <w:tblOverlap w:val="never"/>
        <w:tblW w:w="9800" w:type="dxa"/>
        <w:tblLayout w:type="fixed"/>
        <w:tblLook w:val="04A0"/>
      </w:tblPr>
      <w:tblGrid>
        <w:gridCol w:w="4344"/>
        <w:gridCol w:w="1837"/>
        <w:gridCol w:w="1787"/>
        <w:gridCol w:w="1832"/>
      </w:tblGrid>
      <w:tr w:rsidR="00890D7B">
        <w:trPr>
          <w:trHeight w:val="342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BE48EA" w:rsidRDefault="00BE48EA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BE48EA" w:rsidRDefault="00BE48EA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BE48EA" w:rsidRDefault="00BE48EA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附表1:</w:t>
            </w:r>
          </w:p>
          <w:p w:rsidR="00106A89" w:rsidRDefault="00106A89" w:rsidP="00106A89">
            <w:pPr>
              <w:spacing w:line="18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Pr="00106A89" w:rsidRDefault="00E54E0D" w:rsidP="00106A89">
            <w:pPr>
              <w:spacing w:line="180" w:lineRule="exact"/>
              <w:ind w:firstLineChars="1150" w:firstLine="2771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eastAsia="zh-CN"/>
              </w:rPr>
              <w:t>城市供热成本核定表</w:t>
            </w:r>
          </w:p>
        </w:tc>
      </w:tr>
      <w:tr w:rsidR="00890D7B">
        <w:trPr>
          <w:trHeight w:val="342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lastRenderedPageBreak/>
              <w:t>企业名称：长春市成泰热力有限责任公司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spacing w:line="180" w:lineRule="exact"/>
              <w:jc w:val="right"/>
              <w:rPr>
                <w:rFonts w:ascii="仿宋" w:eastAsia="仿宋" w:hAnsi="仿宋" w:cs="仿宋"/>
                <w:b/>
                <w:bCs/>
                <w:color w:val="FF000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spacing w:line="180" w:lineRule="exact"/>
              <w:jc w:val="right"/>
              <w:rPr>
                <w:rFonts w:ascii="仿宋" w:eastAsia="仿宋" w:hAnsi="仿宋" w:cs="仿宋"/>
                <w:b/>
                <w:bCs/>
                <w:color w:val="FF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spacing w:line="180" w:lineRule="exact"/>
              <w:jc w:val="righ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2022-2023采暖期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2023-2024采暖期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2024-2025采暖期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一、供热面积(开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面积）m²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5363777.95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5377447.92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5468336.52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二、成本合计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152,509,052.71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154,427,171.15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149,856,622.20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    其中：变动成本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132,936,579.06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126,574,505.62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117,755,519.26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          固定成本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35,623,193.41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39,343,333.96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39,837,107.11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（一）生产成本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159,095,835.80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153,817,285.48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145,024,551.69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1、原煤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78,637,380.17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76,736,167.56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62,508,473.05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（1）原煤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70,809,180.74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71,719,602.71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47,848,211.57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（2）煤进项税转出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7,828,199.43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5,016,564.85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14,660,261.48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2、外购热源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35,307,702.02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45,660,148.12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42,972,446.97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（1）外购热源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35,307,702.02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45,660,148.12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42,972,446.97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3、水费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510,805.46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928,049.97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849,787.50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4、电费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18,480,691.41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3,250,139.97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11,424,811.74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5、生产人员职工薪酬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5,969,917.71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7,528,007.06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7,462,757.40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6、折旧费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15,037,051.15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14,387,448.81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14,230,238.73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7、材料费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728,811.67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1,040,831.50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842,185.66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8、维修费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2,475,550.62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2,359,884.69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3,692,570.12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9、其他制造费用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1,947,925.59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1,926,607.80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1,041,280.52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（二）期间费用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9,463,936.67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12,100,554.10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12,568,074.68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1、管理费用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6,912,846.19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8,832,495.06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8,388,914.35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（1）管理人员职工薪酬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2,530,496.28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3,529,096.03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3,743,996.21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（2）折旧费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993,413.03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1,090,401.24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1,084,135.97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（3）修理费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227,889.91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145,636.82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113,502.27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（4）水电费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20,923.47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27,879.16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32,793.40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（5）业务招待费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309,743.09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237,930.27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182,637.87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（6）其他费用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2,830,380.41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3,801,551.54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3,231,848.63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3、财务费用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2,551,090.48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3,268,059.04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4,179,160.33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（三）营业税金及附加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91,182.69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106,511.99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222,546.19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（四）扣除项目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16,141,902.45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11,597,180.42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7,958,550.36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1、财政供暖补贴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9,918,600.00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3,798,000.00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spacing w:line="180" w:lineRule="exact"/>
              <w:jc w:val="right"/>
              <w:rPr>
                <w:rFonts w:ascii="仿宋" w:eastAsia="仿宋" w:hAnsi="仿宋" w:cs="仿宋"/>
                <w:color w:val="000000"/>
              </w:rPr>
            </w:pP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2、其他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6,223,302.45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7,799,180.42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7,958,550.36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三、单位供热成本（含税）（元/㎡）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28.43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28.72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27.40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四、单位供热成本（不含税）（元/㎡）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26.97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27.78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righ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24.72 </w:t>
            </w:r>
          </w:p>
        </w:tc>
      </w:tr>
      <w:tr w:rsidR="00890D7B">
        <w:trPr>
          <w:trHeight w:val="361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五、三年平均单位供热成本（含税）（元/㎡）</w:t>
            </w:r>
          </w:p>
        </w:tc>
        <w:tc>
          <w:tcPr>
            <w:tcW w:w="5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28.18</w:t>
            </w:r>
          </w:p>
        </w:tc>
      </w:tr>
      <w:tr w:rsidR="00890D7B">
        <w:trPr>
          <w:trHeight w:val="405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六、三年平均单位供热成本（不含税）（元/㎡）</w:t>
            </w:r>
          </w:p>
        </w:tc>
        <w:tc>
          <w:tcPr>
            <w:tcW w:w="5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spacing w:line="1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26.49</w:t>
            </w:r>
          </w:p>
        </w:tc>
      </w:tr>
    </w:tbl>
    <w:tbl>
      <w:tblPr>
        <w:tblpPr w:leftFromText="180" w:rightFromText="180" w:vertAnchor="text" w:horzAnchor="page" w:tblpX="1521" w:tblpY="583"/>
        <w:tblOverlap w:val="never"/>
        <w:tblW w:w="9889" w:type="dxa"/>
        <w:tblLayout w:type="fixed"/>
        <w:tblLook w:val="04A0"/>
      </w:tblPr>
      <w:tblGrid>
        <w:gridCol w:w="4361"/>
        <w:gridCol w:w="1854"/>
        <w:gridCol w:w="1854"/>
        <w:gridCol w:w="1820"/>
      </w:tblGrid>
      <w:tr w:rsidR="00890D7B">
        <w:trPr>
          <w:trHeight w:val="283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A89" w:rsidRDefault="00106A8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06A89" w:rsidRDefault="00106A89" w:rsidP="00106A89">
            <w:pPr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eastAsia="zh-CN"/>
              </w:rPr>
              <w:t>附件2：</w:t>
            </w:r>
          </w:p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eastAsia="zh-CN"/>
              </w:rPr>
              <w:t>城市供热成本核定表</w:t>
            </w:r>
          </w:p>
        </w:tc>
      </w:tr>
      <w:tr w:rsidR="00890D7B">
        <w:trPr>
          <w:trHeight w:val="28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lastRenderedPageBreak/>
              <w:t>企业名称：长春吉电热力有限公司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b/>
                <w:bCs/>
                <w:color w:val="FF000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b/>
                <w:bCs/>
                <w:color w:val="FF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890D7B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890D7B">
        <w:trPr>
          <w:trHeight w:val="43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2022-2023采暖期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2023-2024采暖期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zh-CN"/>
              </w:rPr>
              <w:t>2024-2025采暖期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一、供热面积(开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栓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面积）m²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944,127.35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817,550.75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758,414.16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二、成本合计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25,681,168.71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21,679,354.21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22,179,154.73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    其中：变动成本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17,589,156.23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14,943,428.78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15,185,632.25</w:t>
            </w:r>
          </w:p>
        </w:tc>
      </w:tr>
      <w:tr w:rsidR="00890D7B">
        <w:trPr>
          <w:trHeight w:val="40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          固定成本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9,505,800.00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8,016,656.37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8,348,027.76</w:t>
            </w:r>
          </w:p>
        </w:tc>
      </w:tr>
      <w:tr w:rsidR="00890D7B">
        <w:trPr>
          <w:trHeight w:val="37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（一）生产成本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24,073,924.21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20,315,244.93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21,151,956.17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2、外购热源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17,052,719.27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14,263,627.86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14,332,537.66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（1）外购热源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16,514,085.63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13,763,358.09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13,851,053.81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（2）进项税转出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538,633.64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500,269.77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481,483.84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3、水费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141,997.61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130,203.59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196,331.02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4、电费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394,439.35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549,597.32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656,763.57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5、生产人员职工薪酬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2,628,206.08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1,534,958.27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1,808,137.59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6、折旧费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2,768,816.09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2,611,343.93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2,903,423.58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7、材料费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139,353.44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192,104.76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240,276.52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8、维修费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310,440.67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264,006.96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185,189.38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9、其他制造费用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637,951.70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769,402.25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829,296.86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（二）期间费用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3,021,032.02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2,644,840.21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2,381,703.83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1、管理费用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（1）管理人员职工薪酬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（2）折旧费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（3）修理费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（4）水电费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（5）业务招待费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（6）其他费用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2、销售费用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3、财务费用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3,021,032.02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2,644,840.21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2,381,703.83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（三）营业税金及附加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63,266.20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48,139.95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51,058.98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（四）扣除项目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1,477,053.72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1,328,870.88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1,405,564.25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1、财政供暖补贴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890D7B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0.00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2、其他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1,477,053.72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1,328,870.88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1,405,564.25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三、单位供热成本（含税）（元/㎡）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27.20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26.52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29.24</w:t>
            </w:r>
          </w:p>
        </w:tc>
      </w:tr>
      <w:tr w:rsidR="00890D7B">
        <w:trPr>
          <w:trHeight w:val="3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四、单位供热成本（不含税）（元/㎡）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26.63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 xml:space="preserve">25.91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28.61</w:t>
            </w:r>
          </w:p>
        </w:tc>
      </w:tr>
      <w:tr w:rsidR="00890D7B">
        <w:trPr>
          <w:trHeight w:val="34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五、三年平均单位供热成本（含税）（元/㎡）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27.65</w:t>
            </w:r>
          </w:p>
        </w:tc>
      </w:tr>
      <w:tr w:rsidR="00890D7B">
        <w:trPr>
          <w:trHeight w:val="55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六、三年平均单位供热成本（不含税）（元/㎡）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0D7B" w:rsidRDefault="00E54E0D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zh-CN"/>
              </w:rPr>
              <w:t>27.05</w:t>
            </w:r>
          </w:p>
        </w:tc>
      </w:tr>
    </w:tbl>
    <w:p w:rsidR="00890D7B" w:rsidRDefault="00890D7B" w:rsidP="00106A89">
      <w:pPr>
        <w:rPr>
          <w:rFonts w:ascii="仿宋_GB2312" w:eastAsia="仿宋_GB2312" w:hAnsi="Arial Narrow" w:cs="仿宋_GB2312"/>
          <w:color w:val="000000"/>
          <w:sz w:val="24"/>
          <w:szCs w:val="24"/>
          <w:lang w:eastAsia="zh-CN"/>
        </w:rPr>
      </w:pPr>
    </w:p>
    <w:sectPr w:rsidR="00890D7B" w:rsidSect="00890D7B">
      <w:footerReference w:type="default" r:id="rId9"/>
      <w:pgSz w:w="11907" w:h="16840"/>
      <w:pgMar w:top="1440" w:right="1800" w:bottom="1440" w:left="1800" w:header="1440" w:footer="720" w:gutter="0"/>
      <w:cols w:space="0"/>
      <w:docGrid w:type="lines" w:linePitch="2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E0" w:rsidRDefault="00B01FE0" w:rsidP="00890D7B">
      <w:r>
        <w:separator/>
      </w:r>
    </w:p>
  </w:endnote>
  <w:endnote w:type="continuationSeparator" w:id="0">
    <w:p w:rsidR="00B01FE0" w:rsidRDefault="00B01FE0" w:rsidP="00890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7B" w:rsidRDefault="00890D7B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E0" w:rsidRDefault="00B01FE0" w:rsidP="00890D7B">
      <w:r>
        <w:separator/>
      </w:r>
    </w:p>
  </w:footnote>
  <w:footnote w:type="continuationSeparator" w:id="0">
    <w:p w:rsidR="00B01FE0" w:rsidRDefault="00B01FE0" w:rsidP="00890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694AF"/>
    <w:multiLevelType w:val="singleLevel"/>
    <w:tmpl w:val="C06694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7F3FF3"/>
    <w:multiLevelType w:val="singleLevel"/>
    <w:tmpl w:val="0F7F3F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4994AA8"/>
    <w:multiLevelType w:val="multilevel"/>
    <w:tmpl w:val="54994AA8"/>
    <w:lvl w:ilvl="0">
      <w:start w:val="2"/>
      <w:numFmt w:val="japaneseCounting"/>
      <w:lvlText w:val="%1、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720"/>
  <w:drawingGridHorizontalSpacing w:val="100"/>
  <w:drawingGridVerticalSpacing w:val="138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</w:compat>
  <w:docVars>
    <w:docVar w:name="commondata" w:val="eyJoZGlkIjoiZjM4N2NiYzZjODhkMjA1MDYxOWIwYmM1ZWU0OGNjZWIifQ=="/>
  </w:docVars>
  <w:rsids>
    <w:rsidRoot w:val="00172A27"/>
    <w:rsid w:val="ADDD99FD"/>
    <w:rsid w:val="AF7DB212"/>
    <w:rsid w:val="AFFF9126"/>
    <w:rsid w:val="BFEB55C1"/>
    <w:rsid w:val="BFFEF56B"/>
    <w:rsid w:val="DEFA8543"/>
    <w:rsid w:val="DEFB22B9"/>
    <w:rsid w:val="DFCFA0B8"/>
    <w:rsid w:val="DFF9E784"/>
    <w:rsid w:val="DFFD829C"/>
    <w:rsid w:val="E3DD84EE"/>
    <w:rsid w:val="E4FD381D"/>
    <w:rsid w:val="E7E6B178"/>
    <w:rsid w:val="EBB751F4"/>
    <w:rsid w:val="EFFFD1D0"/>
    <w:rsid w:val="F3EDEFAD"/>
    <w:rsid w:val="F9594C78"/>
    <w:rsid w:val="FA7F4E53"/>
    <w:rsid w:val="FA8F4892"/>
    <w:rsid w:val="FBAF24D0"/>
    <w:rsid w:val="FE1289FB"/>
    <w:rsid w:val="FECFD770"/>
    <w:rsid w:val="FFF9570F"/>
    <w:rsid w:val="0000318F"/>
    <w:rsid w:val="0000446B"/>
    <w:rsid w:val="00004E81"/>
    <w:rsid w:val="0000771A"/>
    <w:rsid w:val="0001787D"/>
    <w:rsid w:val="00024B95"/>
    <w:rsid w:val="00024CCA"/>
    <w:rsid w:val="000276B2"/>
    <w:rsid w:val="00027D70"/>
    <w:rsid w:val="00027EB2"/>
    <w:rsid w:val="00030095"/>
    <w:rsid w:val="000307AB"/>
    <w:rsid w:val="000331BB"/>
    <w:rsid w:val="0004086F"/>
    <w:rsid w:val="0004473F"/>
    <w:rsid w:val="000509BC"/>
    <w:rsid w:val="00054AFE"/>
    <w:rsid w:val="00055EB3"/>
    <w:rsid w:val="0006213B"/>
    <w:rsid w:val="000638A2"/>
    <w:rsid w:val="00072985"/>
    <w:rsid w:val="00075568"/>
    <w:rsid w:val="00081838"/>
    <w:rsid w:val="00082E33"/>
    <w:rsid w:val="00084AF2"/>
    <w:rsid w:val="00087295"/>
    <w:rsid w:val="00092A0C"/>
    <w:rsid w:val="00094134"/>
    <w:rsid w:val="00094C6A"/>
    <w:rsid w:val="000A0653"/>
    <w:rsid w:val="000A5785"/>
    <w:rsid w:val="000A5BCC"/>
    <w:rsid w:val="000A70DE"/>
    <w:rsid w:val="000A7A82"/>
    <w:rsid w:val="000B6551"/>
    <w:rsid w:val="000B6C51"/>
    <w:rsid w:val="000B73EF"/>
    <w:rsid w:val="000C0E21"/>
    <w:rsid w:val="000C6EDF"/>
    <w:rsid w:val="000D05EE"/>
    <w:rsid w:val="000D0E18"/>
    <w:rsid w:val="000D418B"/>
    <w:rsid w:val="000D6AA8"/>
    <w:rsid w:val="000D7427"/>
    <w:rsid w:val="000E1CA6"/>
    <w:rsid w:val="000E30D5"/>
    <w:rsid w:val="000E52CF"/>
    <w:rsid w:val="000E70CE"/>
    <w:rsid w:val="000E7B45"/>
    <w:rsid w:val="000F6973"/>
    <w:rsid w:val="00101C5E"/>
    <w:rsid w:val="00103141"/>
    <w:rsid w:val="0010487B"/>
    <w:rsid w:val="00104C13"/>
    <w:rsid w:val="00106A89"/>
    <w:rsid w:val="00106F2A"/>
    <w:rsid w:val="00111065"/>
    <w:rsid w:val="0011158E"/>
    <w:rsid w:val="00111D75"/>
    <w:rsid w:val="00114839"/>
    <w:rsid w:val="00114D90"/>
    <w:rsid w:val="00114E83"/>
    <w:rsid w:val="00127373"/>
    <w:rsid w:val="00127DFC"/>
    <w:rsid w:val="0013077D"/>
    <w:rsid w:val="00133BD1"/>
    <w:rsid w:val="00134F2F"/>
    <w:rsid w:val="001366A5"/>
    <w:rsid w:val="00140261"/>
    <w:rsid w:val="00141F26"/>
    <w:rsid w:val="00154273"/>
    <w:rsid w:val="001566E4"/>
    <w:rsid w:val="00157252"/>
    <w:rsid w:val="00160D8C"/>
    <w:rsid w:val="00162412"/>
    <w:rsid w:val="00163818"/>
    <w:rsid w:val="00165F36"/>
    <w:rsid w:val="00172014"/>
    <w:rsid w:val="00172A27"/>
    <w:rsid w:val="00174432"/>
    <w:rsid w:val="001759BF"/>
    <w:rsid w:val="00181619"/>
    <w:rsid w:val="00185C99"/>
    <w:rsid w:val="0018746B"/>
    <w:rsid w:val="00191890"/>
    <w:rsid w:val="00195EBA"/>
    <w:rsid w:val="001A0A6D"/>
    <w:rsid w:val="001B0F25"/>
    <w:rsid w:val="001C27C0"/>
    <w:rsid w:val="001C5D78"/>
    <w:rsid w:val="001D0E94"/>
    <w:rsid w:val="001D13F1"/>
    <w:rsid w:val="001D6668"/>
    <w:rsid w:val="001E0782"/>
    <w:rsid w:val="001E089B"/>
    <w:rsid w:val="001E252E"/>
    <w:rsid w:val="001E387A"/>
    <w:rsid w:val="001E3FDA"/>
    <w:rsid w:val="001E607A"/>
    <w:rsid w:val="001F01D3"/>
    <w:rsid w:val="001F48C4"/>
    <w:rsid w:val="0020040D"/>
    <w:rsid w:val="002108BC"/>
    <w:rsid w:val="00211BC8"/>
    <w:rsid w:val="00213E12"/>
    <w:rsid w:val="00217B99"/>
    <w:rsid w:val="002205DA"/>
    <w:rsid w:val="00226C03"/>
    <w:rsid w:val="002277B4"/>
    <w:rsid w:val="00240004"/>
    <w:rsid w:val="00242A44"/>
    <w:rsid w:val="00245CF5"/>
    <w:rsid w:val="00246A4B"/>
    <w:rsid w:val="00251AF0"/>
    <w:rsid w:val="002532F8"/>
    <w:rsid w:val="00253BD2"/>
    <w:rsid w:val="002542E6"/>
    <w:rsid w:val="0025581D"/>
    <w:rsid w:val="00257172"/>
    <w:rsid w:val="00262CBE"/>
    <w:rsid w:val="00270F10"/>
    <w:rsid w:val="00271373"/>
    <w:rsid w:val="00274630"/>
    <w:rsid w:val="00274FE1"/>
    <w:rsid w:val="00277E08"/>
    <w:rsid w:val="00280AEA"/>
    <w:rsid w:val="0028374B"/>
    <w:rsid w:val="00297478"/>
    <w:rsid w:val="002A0605"/>
    <w:rsid w:val="002A2BE2"/>
    <w:rsid w:val="002C1F9A"/>
    <w:rsid w:val="002C41E7"/>
    <w:rsid w:val="002C591E"/>
    <w:rsid w:val="002D228B"/>
    <w:rsid w:val="002D630D"/>
    <w:rsid w:val="002E2145"/>
    <w:rsid w:val="002E4AAC"/>
    <w:rsid w:val="002F012F"/>
    <w:rsid w:val="002F1492"/>
    <w:rsid w:val="002F24BE"/>
    <w:rsid w:val="002F468F"/>
    <w:rsid w:val="00300048"/>
    <w:rsid w:val="0030383B"/>
    <w:rsid w:val="00311E74"/>
    <w:rsid w:val="00315A5B"/>
    <w:rsid w:val="00315E86"/>
    <w:rsid w:val="003162F5"/>
    <w:rsid w:val="00327F80"/>
    <w:rsid w:val="00331BCA"/>
    <w:rsid w:val="00336811"/>
    <w:rsid w:val="003456EE"/>
    <w:rsid w:val="003470C8"/>
    <w:rsid w:val="003539CC"/>
    <w:rsid w:val="00355EC2"/>
    <w:rsid w:val="00356648"/>
    <w:rsid w:val="00356847"/>
    <w:rsid w:val="003614E7"/>
    <w:rsid w:val="003621F8"/>
    <w:rsid w:val="00362D9C"/>
    <w:rsid w:val="003653F1"/>
    <w:rsid w:val="003657D2"/>
    <w:rsid w:val="0037078C"/>
    <w:rsid w:val="0037363E"/>
    <w:rsid w:val="003736E7"/>
    <w:rsid w:val="00375FE7"/>
    <w:rsid w:val="003772B1"/>
    <w:rsid w:val="00385D47"/>
    <w:rsid w:val="0038720B"/>
    <w:rsid w:val="003A0F2D"/>
    <w:rsid w:val="003A32C5"/>
    <w:rsid w:val="003A4846"/>
    <w:rsid w:val="003A724A"/>
    <w:rsid w:val="003B1C5D"/>
    <w:rsid w:val="003B210A"/>
    <w:rsid w:val="003B5701"/>
    <w:rsid w:val="003B5F00"/>
    <w:rsid w:val="003C47B7"/>
    <w:rsid w:val="003C49A9"/>
    <w:rsid w:val="003C5F76"/>
    <w:rsid w:val="003C65D7"/>
    <w:rsid w:val="003D0B0E"/>
    <w:rsid w:val="003D4309"/>
    <w:rsid w:val="003D55C0"/>
    <w:rsid w:val="003D656B"/>
    <w:rsid w:val="003E1B00"/>
    <w:rsid w:val="003E41CB"/>
    <w:rsid w:val="003F22A4"/>
    <w:rsid w:val="00401EA0"/>
    <w:rsid w:val="00402BC0"/>
    <w:rsid w:val="004131AE"/>
    <w:rsid w:val="00415308"/>
    <w:rsid w:val="00417350"/>
    <w:rsid w:val="00427D49"/>
    <w:rsid w:val="00430627"/>
    <w:rsid w:val="00433073"/>
    <w:rsid w:val="00447742"/>
    <w:rsid w:val="004618A0"/>
    <w:rsid w:val="004626F0"/>
    <w:rsid w:val="0046414E"/>
    <w:rsid w:val="004664AF"/>
    <w:rsid w:val="00471359"/>
    <w:rsid w:val="004732A2"/>
    <w:rsid w:val="0048117C"/>
    <w:rsid w:val="00486E72"/>
    <w:rsid w:val="004870CF"/>
    <w:rsid w:val="00490105"/>
    <w:rsid w:val="00492D08"/>
    <w:rsid w:val="00493095"/>
    <w:rsid w:val="004941F2"/>
    <w:rsid w:val="0049539F"/>
    <w:rsid w:val="004970C3"/>
    <w:rsid w:val="004A3093"/>
    <w:rsid w:val="004A5631"/>
    <w:rsid w:val="004A6C27"/>
    <w:rsid w:val="004B0057"/>
    <w:rsid w:val="004B6C07"/>
    <w:rsid w:val="004C165D"/>
    <w:rsid w:val="004E663B"/>
    <w:rsid w:val="004E6DF1"/>
    <w:rsid w:val="004F025B"/>
    <w:rsid w:val="004F14D4"/>
    <w:rsid w:val="004F30E1"/>
    <w:rsid w:val="004F7189"/>
    <w:rsid w:val="00501725"/>
    <w:rsid w:val="0050383B"/>
    <w:rsid w:val="00503B1F"/>
    <w:rsid w:val="005067C1"/>
    <w:rsid w:val="00507081"/>
    <w:rsid w:val="00507BEB"/>
    <w:rsid w:val="0051200B"/>
    <w:rsid w:val="005123A6"/>
    <w:rsid w:val="005153FD"/>
    <w:rsid w:val="00516E8C"/>
    <w:rsid w:val="005210C3"/>
    <w:rsid w:val="0052238A"/>
    <w:rsid w:val="00523231"/>
    <w:rsid w:val="0052574C"/>
    <w:rsid w:val="00525E0A"/>
    <w:rsid w:val="00526684"/>
    <w:rsid w:val="005273AE"/>
    <w:rsid w:val="00531FE0"/>
    <w:rsid w:val="00550762"/>
    <w:rsid w:val="00564C62"/>
    <w:rsid w:val="00567923"/>
    <w:rsid w:val="00567A38"/>
    <w:rsid w:val="00575CC5"/>
    <w:rsid w:val="005805F3"/>
    <w:rsid w:val="0058083F"/>
    <w:rsid w:val="00582287"/>
    <w:rsid w:val="00591CD3"/>
    <w:rsid w:val="00595C6B"/>
    <w:rsid w:val="00595E71"/>
    <w:rsid w:val="00596530"/>
    <w:rsid w:val="00597514"/>
    <w:rsid w:val="005A121B"/>
    <w:rsid w:val="005A1B03"/>
    <w:rsid w:val="005A20C8"/>
    <w:rsid w:val="005B4D33"/>
    <w:rsid w:val="005C22AD"/>
    <w:rsid w:val="005C6AD9"/>
    <w:rsid w:val="005D1CEE"/>
    <w:rsid w:val="005D2569"/>
    <w:rsid w:val="005D4278"/>
    <w:rsid w:val="005E0C1E"/>
    <w:rsid w:val="005E20A4"/>
    <w:rsid w:val="005F05EC"/>
    <w:rsid w:val="005F2B17"/>
    <w:rsid w:val="005F398E"/>
    <w:rsid w:val="005F72C2"/>
    <w:rsid w:val="006005CA"/>
    <w:rsid w:val="00601729"/>
    <w:rsid w:val="00611CDE"/>
    <w:rsid w:val="00614314"/>
    <w:rsid w:val="00617C65"/>
    <w:rsid w:val="00623F6E"/>
    <w:rsid w:val="006418BA"/>
    <w:rsid w:val="0065294D"/>
    <w:rsid w:val="00653F99"/>
    <w:rsid w:val="00656A64"/>
    <w:rsid w:val="006630B1"/>
    <w:rsid w:val="00665A08"/>
    <w:rsid w:val="00665F29"/>
    <w:rsid w:val="00671845"/>
    <w:rsid w:val="00673E57"/>
    <w:rsid w:val="006749F2"/>
    <w:rsid w:val="00685EA3"/>
    <w:rsid w:val="00696405"/>
    <w:rsid w:val="006A168A"/>
    <w:rsid w:val="006A4F04"/>
    <w:rsid w:val="006A4FF5"/>
    <w:rsid w:val="006C2093"/>
    <w:rsid w:val="006C37DB"/>
    <w:rsid w:val="006D0AA1"/>
    <w:rsid w:val="006D2564"/>
    <w:rsid w:val="006D6EF1"/>
    <w:rsid w:val="006E1415"/>
    <w:rsid w:val="006E2F38"/>
    <w:rsid w:val="006E6F03"/>
    <w:rsid w:val="006F0C2A"/>
    <w:rsid w:val="006F4D48"/>
    <w:rsid w:val="00714A89"/>
    <w:rsid w:val="00714B81"/>
    <w:rsid w:val="00717524"/>
    <w:rsid w:val="00720897"/>
    <w:rsid w:val="007218E6"/>
    <w:rsid w:val="00721A5B"/>
    <w:rsid w:val="0072322E"/>
    <w:rsid w:val="007254AF"/>
    <w:rsid w:val="00727B88"/>
    <w:rsid w:val="00727F29"/>
    <w:rsid w:val="007312C2"/>
    <w:rsid w:val="00731C12"/>
    <w:rsid w:val="007367D8"/>
    <w:rsid w:val="007570BE"/>
    <w:rsid w:val="007604F8"/>
    <w:rsid w:val="00764225"/>
    <w:rsid w:val="007650C0"/>
    <w:rsid w:val="007652E3"/>
    <w:rsid w:val="00772AEE"/>
    <w:rsid w:val="007754AC"/>
    <w:rsid w:val="0078013C"/>
    <w:rsid w:val="007807E3"/>
    <w:rsid w:val="00782E94"/>
    <w:rsid w:val="00784D5B"/>
    <w:rsid w:val="0078759B"/>
    <w:rsid w:val="007A48B8"/>
    <w:rsid w:val="007A522D"/>
    <w:rsid w:val="007A7ED2"/>
    <w:rsid w:val="007B5728"/>
    <w:rsid w:val="007C1B79"/>
    <w:rsid w:val="007C2F45"/>
    <w:rsid w:val="007C32D4"/>
    <w:rsid w:val="007C34A5"/>
    <w:rsid w:val="007C44E7"/>
    <w:rsid w:val="007C5826"/>
    <w:rsid w:val="007C71AE"/>
    <w:rsid w:val="007C7999"/>
    <w:rsid w:val="007D3734"/>
    <w:rsid w:val="007E0EDB"/>
    <w:rsid w:val="007E5121"/>
    <w:rsid w:val="007E5614"/>
    <w:rsid w:val="007E5DDB"/>
    <w:rsid w:val="007F304B"/>
    <w:rsid w:val="007F34C8"/>
    <w:rsid w:val="007F3986"/>
    <w:rsid w:val="007F4AC0"/>
    <w:rsid w:val="007F4B76"/>
    <w:rsid w:val="007F5651"/>
    <w:rsid w:val="008024E3"/>
    <w:rsid w:val="00810D34"/>
    <w:rsid w:val="008113AB"/>
    <w:rsid w:val="008115FF"/>
    <w:rsid w:val="008223C3"/>
    <w:rsid w:val="00824BEA"/>
    <w:rsid w:val="008259EF"/>
    <w:rsid w:val="008313E5"/>
    <w:rsid w:val="00832298"/>
    <w:rsid w:val="00832C49"/>
    <w:rsid w:val="00840042"/>
    <w:rsid w:val="008426B6"/>
    <w:rsid w:val="00842A56"/>
    <w:rsid w:val="00846591"/>
    <w:rsid w:val="0084730E"/>
    <w:rsid w:val="00847384"/>
    <w:rsid w:val="0085598A"/>
    <w:rsid w:val="0086439D"/>
    <w:rsid w:val="008710BD"/>
    <w:rsid w:val="008738F8"/>
    <w:rsid w:val="00876D81"/>
    <w:rsid w:val="00877523"/>
    <w:rsid w:val="00881616"/>
    <w:rsid w:val="0088264D"/>
    <w:rsid w:val="008839EC"/>
    <w:rsid w:val="008860F7"/>
    <w:rsid w:val="00886B87"/>
    <w:rsid w:val="00887554"/>
    <w:rsid w:val="00887BF3"/>
    <w:rsid w:val="00890D7B"/>
    <w:rsid w:val="0089275C"/>
    <w:rsid w:val="008A170A"/>
    <w:rsid w:val="008B31AD"/>
    <w:rsid w:val="008B73A8"/>
    <w:rsid w:val="008D3112"/>
    <w:rsid w:val="008D41ED"/>
    <w:rsid w:val="008D4423"/>
    <w:rsid w:val="008D672B"/>
    <w:rsid w:val="008D7D71"/>
    <w:rsid w:val="008F04A7"/>
    <w:rsid w:val="008F1809"/>
    <w:rsid w:val="008F6E85"/>
    <w:rsid w:val="009039E6"/>
    <w:rsid w:val="009073E0"/>
    <w:rsid w:val="009079EE"/>
    <w:rsid w:val="0091326B"/>
    <w:rsid w:val="00913293"/>
    <w:rsid w:val="00913484"/>
    <w:rsid w:val="009135E6"/>
    <w:rsid w:val="00915818"/>
    <w:rsid w:val="00925B7D"/>
    <w:rsid w:val="00925E5F"/>
    <w:rsid w:val="0092648B"/>
    <w:rsid w:val="00926795"/>
    <w:rsid w:val="00927F69"/>
    <w:rsid w:val="009300A7"/>
    <w:rsid w:val="0093372D"/>
    <w:rsid w:val="0093536C"/>
    <w:rsid w:val="009370B4"/>
    <w:rsid w:val="0094007E"/>
    <w:rsid w:val="00944955"/>
    <w:rsid w:val="00950E73"/>
    <w:rsid w:val="009527BB"/>
    <w:rsid w:val="00956471"/>
    <w:rsid w:val="00975444"/>
    <w:rsid w:val="00980A99"/>
    <w:rsid w:val="00981778"/>
    <w:rsid w:val="00983EEC"/>
    <w:rsid w:val="00990623"/>
    <w:rsid w:val="009A15F3"/>
    <w:rsid w:val="009A604B"/>
    <w:rsid w:val="009A6FE6"/>
    <w:rsid w:val="009B0053"/>
    <w:rsid w:val="009B0298"/>
    <w:rsid w:val="009B420D"/>
    <w:rsid w:val="009B6970"/>
    <w:rsid w:val="009B6E77"/>
    <w:rsid w:val="009B7B41"/>
    <w:rsid w:val="009C1B8A"/>
    <w:rsid w:val="009C5854"/>
    <w:rsid w:val="009C71D5"/>
    <w:rsid w:val="009D08F2"/>
    <w:rsid w:val="009D0A28"/>
    <w:rsid w:val="009E0A1E"/>
    <w:rsid w:val="009E1248"/>
    <w:rsid w:val="009E60B4"/>
    <w:rsid w:val="009E69DD"/>
    <w:rsid w:val="009E6F19"/>
    <w:rsid w:val="009F352D"/>
    <w:rsid w:val="009F3D83"/>
    <w:rsid w:val="00A0016E"/>
    <w:rsid w:val="00A03452"/>
    <w:rsid w:val="00A0719F"/>
    <w:rsid w:val="00A07551"/>
    <w:rsid w:val="00A110A0"/>
    <w:rsid w:val="00A1574E"/>
    <w:rsid w:val="00A20A3A"/>
    <w:rsid w:val="00A21191"/>
    <w:rsid w:val="00A2447E"/>
    <w:rsid w:val="00A31337"/>
    <w:rsid w:val="00A3154D"/>
    <w:rsid w:val="00A31C0E"/>
    <w:rsid w:val="00A33497"/>
    <w:rsid w:val="00A5295D"/>
    <w:rsid w:val="00A62630"/>
    <w:rsid w:val="00A64BA4"/>
    <w:rsid w:val="00A7419F"/>
    <w:rsid w:val="00A74B0C"/>
    <w:rsid w:val="00A779DA"/>
    <w:rsid w:val="00A77B54"/>
    <w:rsid w:val="00A77EBB"/>
    <w:rsid w:val="00A83725"/>
    <w:rsid w:val="00A85DAE"/>
    <w:rsid w:val="00A86210"/>
    <w:rsid w:val="00A866CB"/>
    <w:rsid w:val="00A915E1"/>
    <w:rsid w:val="00A964D6"/>
    <w:rsid w:val="00A97497"/>
    <w:rsid w:val="00AA2E39"/>
    <w:rsid w:val="00AA5A92"/>
    <w:rsid w:val="00AA6040"/>
    <w:rsid w:val="00AB00F5"/>
    <w:rsid w:val="00AB0A2F"/>
    <w:rsid w:val="00AB1104"/>
    <w:rsid w:val="00AB7E90"/>
    <w:rsid w:val="00AC13F2"/>
    <w:rsid w:val="00AC32F0"/>
    <w:rsid w:val="00AC4868"/>
    <w:rsid w:val="00AD440E"/>
    <w:rsid w:val="00AD45AD"/>
    <w:rsid w:val="00AD4664"/>
    <w:rsid w:val="00AD555D"/>
    <w:rsid w:val="00AD62D4"/>
    <w:rsid w:val="00AE5A1D"/>
    <w:rsid w:val="00AF144E"/>
    <w:rsid w:val="00AF2B45"/>
    <w:rsid w:val="00AF4111"/>
    <w:rsid w:val="00AF7588"/>
    <w:rsid w:val="00B01FE0"/>
    <w:rsid w:val="00B02B63"/>
    <w:rsid w:val="00B053B2"/>
    <w:rsid w:val="00B05502"/>
    <w:rsid w:val="00B0724B"/>
    <w:rsid w:val="00B12C3F"/>
    <w:rsid w:val="00B14525"/>
    <w:rsid w:val="00B14929"/>
    <w:rsid w:val="00B17081"/>
    <w:rsid w:val="00B177D3"/>
    <w:rsid w:val="00B22159"/>
    <w:rsid w:val="00B2449B"/>
    <w:rsid w:val="00B26234"/>
    <w:rsid w:val="00B266DB"/>
    <w:rsid w:val="00B311DE"/>
    <w:rsid w:val="00B34903"/>
    <w:rsid w:val="00B4147E"/>
    <w:rsid w:val="00B5509D"/>
    <w:rsid w:val="00B55575"/>
    <w:rsid w:val="00B56111"/>
    <w:rsid w:val="00B62D34"/>
    <w:rsid w:val="00B62F31"/>
    <w:rsid w:val="00B7033F"/>
    <w:rsid w:val="00B767D5"/>
    <w:rsid w:val="00B8048B"/>
    <w:rsid w:val="00B81AD7"/>
    <w:rsid w:val="00B82B5E"/>
    <w:rsid w:val="00B874E7"/>
    <w:rsid w:val="00B87FA9"/>
    <w:rsid w:val="00B905BD"/>
    <w:rsid w:val="00B9262C"/>
    <w:rsid w:val="00B928FF"/>
    <w:rsid w:val="00BA2348"/>
    <w:rsid w:val="00BA2B62"/>
    <w:rsid w:val="00BA43A1"/>
    <w:rsid w:val="00BA4B98"/>
    <w:rsid w:val="00BA6D14"/>
    <w:rsid w:val="00BB2D91"/>
    <w:rsid w:val="00BB3680"/>
    <w:rsid w:val="00BB5CD2"/>
    <w:rsid w:val="00BC2A4B"/>
    <w:rsid w:val="00BC3325"/>
    <w:rsid w:val="00BC61F9"/>
    <w:rsid w:val="00BC6ED9"/>
    <w:rsid w:val="00BC7121"/>
    <w:rsid w:val="00BC748C"/>
    <w:rsid w:val="00BD0649"/>
    <w:rsid w:val="00BD0E31"/>
    <w:rsid w:val="00BD4AE5"/>
    <w:rsid w:val="00BD64B4"/>
    <w:rsid w:val="00BE40E2"/>
    <w:rsid w:val="00BE48EA"/>
    <w:rsid w:val="00BE618B"/>
    <w:rsid w:val="00BF2BC5"/>
    <w:rsid w:val="00BF3106"/>
    <w:rsid w:val="00C04A86"/>
    <w:rsid w:val="00C05250"/>
    <w:rsid w:val="00C07368"/>
    <w:rsid w:val="00C109FA"/>
    <w:rsid w:val="00C11778"/>
    <w:rsid w:val="00C12983"/>
    <w:rsid w:val="00C148D0"/>
    <w:rsid w:val="00C161C2"/>
    <w:rsid w:val="00C25CC1"/>
    <w:rsid w:val="00C31545"/>
    <w:rsid w:val="00C32A2B"/>
    <w:rsid w:val="00C33D56"/>
    <w:rsid w:val="00C37D38"/>
    <w:rsid w:val="00C40E0B"/>
    <w:rsid w:val="00C45167"/>
    <w:rsid w:val="00C468EF"/>
    <w:rsid w:val="00C500F6"/>
    <w:rsid w:val="00C51C94"/>
    <w:rsid w:val="00C63D46"/>
    <w:rsid w:val="00C6626C"/>
    <w:rsid w:val="00C7014F"/>
    <w:rsid w:val="00C71595"/>
    <w:rsid w:val="00C71F47"/>
    <w:rsid w:val="00C725E5"/>
    <w:rsid w:val="00C7591D"/>
    <w:rsid w:val="00C81E1C"/>
    <w:rsid w:val="00C83CC9"/>
    <w:rsid w:val="00C86C8F"/>
    <w:rsid w:val="00C911AC"/>
    <w:rsid w:val="00C92136"/>
    <w:rsid w:val="00C92946"/>
    <w:rsid w:val="00C92E2C"/>
    <w:rsid w:val="00C94BF7"/>
    <w:rsid w:val="00C974FC"/>
    <w:rsid w:val="00CA636D"/>
    <w:rsid w:val="00CB03E0"/>
    <w:rsid w:val="00CB525C"/>
    <w:rsid w:val="00CC010E"/>
    <w:rsid w:val="00CD6F54"/>
    <w:rsid w:val="00CE37FF"/>
    <w:rsid w:val="00CE4E2E"/>
    <w:rsid w:val="00CE5BE9"/>
    <w:rsid w:val="00CF67BA"/>
    <w:rsid w:val="00D07717"/>
    <w:rsid w:val="00D07873"/>
    <w:rsid w:val="00D15564"/>
    <w:rsid w:val="00D17C9C"/>
    <w:rsid w:val="00D21141"/>
    <w:rsid w:val="00D22079"/>
    <w:rsid w:val="00D24A5C"/>
    <w:rsid w:val="00D24DA5"/>
    <w:rsid w:val="00D271B4"/>
    <w:rsid w:val="00D33250"/>
    <w:rsid w:val="00D34419"/>
    <w:rsid w:val="00D34B70"/>
    <w:rsid w:val="00D36124"/>
    <w:rsid w:val="00D43678"/>
    <w:rsid w:val="00D50FF6"/>
    <w:rsid w:val="00D56253"/>
    <w:rsid w:val="00D65D5C"/>
    <w:rsid w:val="00D66A01"/>
    <w:rsid w:val="00D754BC"/>
    <w:rsid w:val="00D86477"/>
    <w:rsid w:val="00DA0906"/>
    <w:rsid w:val="00DA602C"/>
    <w:rsid w:val="00DA7C14"/>
    <w:rsid w:val="00DB65E7"/>
    <w:rsid w:val="00DC0222"/>
    <w:rsid w:val="00DC4DB2"/>
    <w:rsid w:val="00DC6980"/>
    <w:rsid w:val="00DD0D17"/>
    <w:rsid w:val="00DD2A8C"/>
    <w:rsid w:val="00DD4D79"/>
    <w:rsid w:val="00DD5364"/>
    <w:rsid w:val="00DD5DD8"/>
    <w:rsid w:val="00DD6D44"/>
    <w:rsid w:val="00DE39E4"/>
    <w:rsid w:val="00DE3B8D"/>
    <w:rsid w:val="00DE416A"/>
    <w:rsid w:val="00DE5801"/>
    <w:rsid w:val="00DF4E47"/>
    <w:rsid w:val="00E0017E"/>
    <w:rsid w:val="00E00894"/>
    <w:rsid w:val="00E049F3"/>
    <w:rsid w:val="00E04E7E"/>
    <w:rsid w:val="00E051A1"/>
    <w:rsid w:val="00E06A48"/>
    <w:rsid w:val="00E06E33"/>
    <w:rsid w:val="00E0717E"/>
    <w:rsid w:val="00E11B1E"/>
    <w:rsid w:val="00E12A0C"/>
    <w:rsid w:val="00E13D1A"/>
    <w:rsid w:val="00E2362B"/>
    <w:rsid w:val="00E253F3"/>
    <w:rsid w:val="00E31ACC"/>
    <w:rsid w:val="00E40732"/>
    <w:rsid w:val="00E40E27"/>
    <w:rsid w:val="00E43224"/>
    <w:rsid w:val="00E44405"/>
    <w:rsid w:val="00E510E4"/>
    <w:rsid w:val="00E51717"/>
    <w:rsid w:val="00E54E0D"/>
    <w:rsid w:val="00E63A0C"/>
    <w:rsid w:val="00E644B4"/>
    <w:rsid w:val="00E706D6"/>
    <w:rsid w:val="00E70DEF"/>
    <w:rsid w:val="00E7393E"/>
    <w:rsid w:val="00E8537C"/>
    <w:rsid w:val="00E862CD"/>
    <w:rsid w:val="00EA6747"/>
    <w:rsid w:val="00EB006A"/>
    <w:rsid w:val="00EB0145"/>
    <w:rsid w:val="00EB6F58"/>
    <w:rsid w:val="00EC7E7F"/>
    <w:rsid w:val="00ED0C7F"/>
    <w:rsid w:val="00EE0F35"/>
    <w:rsid w:val="00EE1535"/>
    <w:rsid w:val="00EE2962"/>
    <w:rsid w:val="00EE4CD3"/>
    <w:rsid w:val="00EE71CB"/>
    <w:rsid w:val="00F02D68"/>
    <w:rsid w:val="00F0320D"/>
    <w:rsid w:val="00F14795"/>
    <w:rsid w:val="00F156C6"/>
    <w:rsid w:val="00F16824"/>
    <w:rsid w:val="00F24A3D"/>
    <w:rsid w:val="00F318BA"/>
    <w:rsid w:val="00F329B7"/>
    <w:rsid w:val="00F331A0"/>
    <w:rsid w:val="00F3714E"/>
    <w:rsid w:val="00F41F0E"/>
    <w:rsid w:val="00F5018B"/>
    <w:rsid w:val="00F53EDD"/>
    <w:rsid w:val="00F57D6F"/>
    <w:rsid w:val="00F60445"/>
    <w:rsid w:val="00F6095E"/>
    <w:rsid w:val="00F66AD7"/>
    <w:rsid w:val="00F72F7C"/>
    <w:rsid w:val="00F75C0C"/>
    <w:rsid w:val="00F83084"/>
    <w:rsid w:val="00FA2663"/>
    <w:rsid w:val="00FA2E40"/>
    <w:rsid w:val="00FA5F07"/>
    <w:rsid w:val="00FB0DA1"/>
    <w:rsid w:val="00FB30F0"/>
    <w:rsid w:val="00FB787D"/>
    <w:rsid w:val="00FC6C1E"/>
    <w:rsid w:val="00FC71D4"/>
    <w:rsid w:val="00FD046F"/>
    <w:rsid w:val="00FD12A2"/>
    <w:rsid w:val="00FD6A62"/>
    <w:rsid w:val="00FD7062"/>
    <w:rsid w:val="00FD731D"/>
    <w:rsid w:val="00FE00C6"/>
    <w:rsid w:val="00FE1BE2"/>
    <w:rsid w:val="00FE3EF4"/>
    <w:rsid w:val="00FF0C99"/>
    <w:rsid w:val="00FF1F9B"/>
    <w:rsid w:val="00FF35D6"/>
    <w:rsid w:val="00FF3EEE"/>
    <w:rsid w:val="00FF555C"/>
    <w:rsid w:val="00FF57D3"/>
    <w:rsid w:val="00FF6F18"/>
    <w:rsid w:val="026A1AAA"/>
    <w:rsid w:val="030303E6"/>
    <w:rsid w:val="03040698"/>
    <w:rsid w:val="034E11BB"/>
    <w:rsid w:val="038131AC"/>
    <w:rsid w:val="04A23A00"/>
    <w:rsid w:val="04DE25D2"/>
    <w:rsid w:val="05B370DB"/>
    <w:rsid w:val="06287461"/>
    <w:rsid w:val="06D242E9"/>
    <w:rsid w:val="06D544AC"/>
    <w:rsid w:val="06E207C6"/>
    <w:rsid w:val="073E7C39"/>
    <w:rsid w:val="079C0106"/>
    <w:rsid w:val="07A40A90"/>
    <w:rsid w:val="07B205A4"/>
    <w:rsid w:val="07CA3133"/>
    <w:rsid w:val="086E60CF"/>
    <w:rsid w:val="08B352CE"/>
    <w:rsid w:val="09B5725D"/>
    <w:rsid w:val="0A2D2958"/>
    <w:rsid w:val="0A5371A2"/>
    <w:rsid w:val="0B1A37C0"/>
    <w:rsid w:val="0B50616E"/>
    <w:rsid w:val="0B6C7DF0"/>
    <w:rsid w:val="0BCD5C34"/>
    <w:rsid w:val="0C9A2C0C"/>
    <w:rsid w:val="0D265DC1"/>
    <w:rsid w:val="0D3C40AE"/>
    <w:rsid w:val="0D6B4803"/>
    <w:rsid w:val="0D814724"/>
    <w:rsid w:val="0D922B01"/>
    <w:rsid w:val="0E223375"/>
    <w:rsid w:val="0E295247"/>
    <w:rsid w:val="0E747453"/>
    <w:rsid w:val="0EA52D2C"/>
    <w:rsid w:val="0FD73B69"/>
    <w:rsid w:val="0FD924B7"/>
    <w:rsid w:val="10A23C1D"/>
    <w:rsid w:val="10AC29CC"/>
    <w:rsid w:val="10E8616A"/>
    <w:rsid w:val="11521863"/>
    <w:rsid w:val="120D0626"/>
    <w:rsid w:val="12192A7F"/>
    <w:rsid w:val="128663FF"/>
    <w:rsid w:val="129904F4"/>
    <w:rsid w:val="12EF06E2"/>
    <w:rsid w:val="13054DB2"/>
    <w:rsid w:val="133B6472"/>
    <w:rsid w:val="13DC1438"/>
    <w:rsid w:val="144B2C98"/>
    <w:rsid w:val="148930DE"/>
    <w:rsid w:val="149516C8"/>
    <w:rsid w:val="15472467"/>
    <w:rsid w:val="16B014D8"/>
    <w:rsid w:val="16D8554F"/>
    <w:rsid w:val="176D70C1"/>
    <w:rsid w:val="179761F4"/>
    <w:rsid w:val="183042A9"/>
    <w:rsid w:val="188655EE"/>
    <w:rsid w:val="196A3BC0"/>
    <w:rsid w:val="19946E8F"/>
    <w:rsid w:val="19CC03D7"/>
    <w:rsid w:val="19D454DE"/>
    <w:rsid w:val="1A0D76C1"/>
    <w:rsid w:val="1B177C8B"/>
    <w:rsid w:val="1B5F603D"/>
    <w:rsid w:val="1C401BD4"/>
    <w:rsid w:val="1C7F7983"/>
    <w:rsid w:val="1C8707C0"/>
    <w:rsid w:val="1CB315CA"/>
    <w:rsid w:val="1CC17AF9"/>
    <w:rsid w:val="1EB206B8"/>
    <w:rsid w:val="1EBF050A"/>
    <w:rsid w:val="1F015DFA"/>
    <w:rsid w:val="1F5A46D7"/>
    <w:rsid w:val="2127683B"/>
    <w:rsid w:val="217954EC"/>
    <w:rsid w:val="21BC79E8"/>
    <w:rsid w:val="21C4408A"/>
    <w:rsid w:val="22836D2F"/>
    <w:rsid w:val="22A31EF1"/>
    <w:rsid w:val="23ED3D6C"/>
    <w:rsid w:val="24583C7E"/>
    <w:rsid w:val="249B7324"/>
    <w:rsid w:val="24EE5828"/>
    <w:rsid w:val="24F0020D"/>
    <w:rsid w:val="257F5762"/>
    <w:rsid w:val="25AD6E8C"/>
    <w:rsid w:val="25EF0857"/>
    <w:rsid w:val="260B5850"/>
    <w:rsid w:val="263E106A"/>
    <w:rsid w:val="264E7B1E"/>
    <w:rsid w:val="265A3A36"/>
    <w:rsid w:val="26B54523"/>
    <w:rsid w:val="26BF5E3B"/>
    <w:rsid w:val="26EF57D3"/>
    <w:rsid w:val="271433BD"/>
    <w:rsid w:val="27247AA4"/>
    <w:rsid w:val="2753092E"/>
    <w:rsid w:val="27620AFA"/>
    <w:rsid w:val="278471D0"/>
    <w:rsid w:val="28014F56"/>
    <w:rsid w:val="28543426"/>
    <w:rsid w:val="287F6F5C"/>
    <w:rsid w:val="28E55F05"/>
    <w:rsid w:val="29B11398"/>
    <w:rsid w:val="29C61E7F"/>
    <w:rsid w:val="29DF5F05"/>
    <w:rsid w:val="29F51124"/>
    <w:rsid w:val="2A1220D8"/>
    <w:rsid w:val="2A1E40E7"/>
    <w:rsid w:val="2A431FE7"/>
    <w:rsid w:val="2AAB4039"/>
    <w:rsid w:val="2AFE54A9"/>
    <w:rsid w:val="2B292838"/>
    <w:rsid w:val="2B3040F6"/>
    <w:rsid w:val="2B8B43C4"/>
    <w:rsid w:val="2C2574F4"/>
    <w:rsid w:val="2C691356"/>
    <w:rsid w:val="2C772424"/>
    <w:rsid w:val="2D0C573C"/>
    <w:rsid w:val="2DE92552"/>
    <w:rsid w:val="2E0F003A"/>
    <w:rsid w:val="2F817F72"/>
    <w:rsid w:val="303C4BBE"/>
    <w:rsid w:val="3082085A"/>
    <w:rsid w:val="308C4A63"/>
    <w:rsid w:val="32586856"/>
    <w:rsid w:val="325F3896"/>
    <w:rsid w:val="33443856"/>
    <w:rsid w:val="3393552D"/>
    <w:rsid w:val="33E43B28"/>
    <w:rsid w:val="340053F5"/>
    <w:rsid w:val="3411315F"/>
    <w:rsid w:val="34232E92"/>
    <w:rsid w:val="34915428"/>
    <w:rsid w:val="34EE52CE"/>
    <w:rsid w:val="34F56D44"/>
    <w:rsid w:val="350B5E00"/>
    <w:rsid w:val="35951B6D"/>
    <w:rsid w:val="35EE3396"/>
    <w:rsid w:val="362A7637"/>
    <w:rsid w:val="37471D1A"/>
    <w:rsid w:val="384B29B7"/>
    <w:rsid w:val="38AD58E8"/>
    <w:rsid w:val="38B71E1F"/>
    <w:rsid w:val="38BF088D"/>
    <w:rsid w:val="3923264B"/>
    <w:rsid w:val="3A176FF5"/>
    <w:rsid w:val="3ACE3183"/>
    <w:rsid w:val="3BC20A73"/>
    <w:rsid w:val="3C6C3ABE"/>
    <w:rsid w:val="3C97441D"/>
    <w:rsid w:val="3CD76420"/>
    <w:rsid w:val="3CF4186F"/>
    <w:rsid w:val="3E564848"/>
    <w:rsid w:val="3EE656D0"/>
    <w:rsid w:val="3F3D1179"/>
    <w:rsid w:val="3F7319F9"/>
    <w:rsid w:val="3FA43F8C"/>
    <w:rsid w:val="3FF551F9"/>
    <w:rsid w:val="40402C7F"/>
    <w:rsid w:val="410A564B"/>
    <w:rsid w:val="41566655"/>
    <w:rsid w:val="432008E1"/>
    <w:rsid w:val="432B5962"/>
    <w:rsid w:val="4359067E"/>
    <w:rsid w:val="43936484"/>
    <w:rsid w:val="44E13094"/>
    <w:rsid w:val="46076F4E"/>
    <w:rsid w:val="46F77A4D"/>
    <w:rsid w:val="472748B5"/>
    <w:rsid w:val="48392C98"/>
    <w:rsid w:val="484D70C7"/>
    <w:rsid w:val="49A67686"/>
    <w:rsid w:val="4AB10636"/>
    <w:rsid w:val="4B9226CB"/>
    <w:rsid w:val="4C3DD7BC"/>
    <w:rsid w:val="4CBC40A5"/>
    <w:rsid w:val="4CD24DE9"/>
    <w:rsid w:val="4DF02612"/>
    <w:rsid w:val="4DF82B46"/>
    <w:rsid w:val="4E083467"/>
    <w:rsid w:val="4EE16C6A"/>
    <w:rsid w:val="4EE44F1B"/>
    <w:rsid w:val="4F3534DD"/>
    <w:rsid w:val="4F827460"/>
    <w:rsid w:val="4FBB2239"/>
    <w:rsid w:val="506F4BA7"/>
    <w:rsid w:val="50C57353"/>
    <w:rsid w:val="51A259FF"/>
    <w:rsid w:val="51FC0B3E"/>
    <w:rsid w:val="521B7E89"/>
    <w:rsid w:val="523678E2"/>
    <w:rsid w:val="530103EA"/>
    <w:rsid w:val="53820EFC"/>
    <w:rsid w:val="53B3052B"/>
    <w:rsid w:val="54174096"/>
    <w:rsid w:val="543479E4"/>
    <w:rsid w:val="554368A0"/>
    <w:rsid w:val="55546EF7"/>
    <w:rsid w:val="556F6786"/>
    <w:rsid w:val="558B76CD"/>
    <w:rsid w:val="558E4B9B"/>
    <w:rsid w:val="55EA48C2"/>
    <w:rsid w:val="56A812A9"/>
    <w:rsid w:val="56E849CE"/>
    <w:rsid w:val="57073FB0"/>
    <w:rsid w:val="579D2F5D"/>
    <w:rsid w:val="57B04AEE"/>
    <w:rsid w:val="58445001"/>
    <w:rsid w:val="59A41F66"/>
    <w:rsid w:val="5A1B1A6D"/>
    <w:rsid w:val="5BC41B86"/>
    <w:rsid w:val="5BE76847"/>
    <w:rsid w:val="5C477471"/>
    <w:rsid w:val="5CAE1DC8"/>
    <w:rsid w:val="5CD234A9"/>
    <w:rsid w:val="5D8B4CB8"/>
    <w:rsid w:val="5E7E03F2"/>
    <w:rsid w:val="5E916AC6"/>
    <w:rsid w:val="5F1514A5"/>
    <w:rsid w:val="5F331851"/>
    <w:rsid w:val="5F772BEE"/>
    <w:rsid w:val="5F7D2E4A"/>
    <w:rsid w:val="5FDEE15E"/>
    <w:rsid w:val="60F4119F"/>
    <w:rsid w:val="61AD22F0"/>
    <w:rsid w:val="62212091"/>
    <w:rsid w:val="6224507F"/>
    <w:rsid w:val="62597D34"/>
    <w:rsid w:val="628A3F58"/>
    <w:rsid w:val="62C656CB"/>
    <w:rsid w:val="632B5FCD"/>
    <w:rsid w:val="63AC3596"/>
    <w:rsid w:val="63AF4F4E"/>
    <w:rsid w:val="64122457"/>
    <w:rsid w:val="64947310"/>
    <w:rsid w:val="64A36D5C"/>
    <w:rsid w:val="64C35D8A"/>
    <w:rsid w:val="654176EC"/>
    <w:rsid w:val="655A7EFF"/>
    <w:rsid w:val="666C6E98"/>
    <w:rsid w:val="676905E0"/>
    <w:rsid w:val="67D465F4"/>
    <w:rsid w:val="68703BF0"/>
    <w:rsid w:val="69276B0B"/>
    <w:rsid w:val="69657F6C"/>
    <w:rsid w:val="69AC0A2E"/>
    <w:rsid w:val="6A3A6264"/>
    <w:rsid w:val="6A4D41E9"/>
    <w:rsid w:val="6AED17A6"/>
    <w:rsid w:val="6B0C5E52"/>
    <w:rsid w:val="6B6510F2"/>
    <w:rsid w:val="6B683A19"/>
    <w:rsid w:val="6BDE5518"/>
    <w:rsid w:val="6C620732"/>
    <w:rsid w:val="6C6347AB"/>
    <w:rsid w:val="6C823F3D"/>
    <w:rsid w:val="6D0E11DB"/>
    <w:rsid w:val="6D8F68C7"/>
    <w:rsid w:val="6DCB4D75"/>
    <w:rsid w:val="6E5F6EB9"/>
    <w:rsid w:val="6F3038C2"/>
    <w:rsid w:val="6F7A7103"/>
    <w:rsid w:val="704433A9"/>
    <w:rsid w:val="70803A56"/>
    <w:rsid w:val="70950698"/>
    <w:rsid w:val="709766D3"/>
    <w:rsid w:val="70CD0DC1"/>
    <w:rsid w:val="70D4605C"/>
    <w:rsid w:val="71436B96"/>
    <w:rsid w:val="72297EBD"/>
    <w:rsid w:val="72EA3A66"/>
    <w:rsid w:val="730D5DB7"/>
    <w:rsid w:val="734D3256"/>
    <w:rsid w:val="737A5923"/>
    <w:rsid w:val="738078A9"/>
    <w:rsid w:val="73921C20"/>
    <w:rsid w:val="73AE05CB"/>
    <w:rsid w:val="73D17C39"/>
    <w:rsid w:val="745A420A"/>
    <w:rsid w:val="74953DB9"/>
    <w:rsid w:val="7536560D"/>
    <w:rsid w:val="757A1C0A"/>
    <w:rsid w:val="75DF701C"/>
    <w:rsid w:val="760E7F39"/>
    <w:rsid w:val="76CC778F"/>
    <w:rsid w:val="76D39EC2"/>
    <w:rsid w:val="76DA41E9"/>
    <w:rsid w:val="76E77774"/>
    <w:rsid w:val="77920D4F"/>
    <w:rsid w:val="77C67389"/>
    <w:rsid w:val="77D35BE0"/>
    <w:rsid w:val="781F3464"/>
    <w:rsid w:val="78436124"/>
    <w:rsid w:val="792C76C0"/>
    <w:rsid w:val="7979297E"/>
    <w:rsid w:val="79957FBB"/>
    <w:rsid w:val="79E57DF5"/>
    <w:rsid w:val="7A0D74F1"/>
    <w:rsid w:val="7A302041"/>
    <w:rsid w:val="7A724417"/>
    <w:rsid w:val="7ACD6BE5"/>
    <w:rsid w:val="7B205002"/>
    <w:rsid w:val="7B336538"/>
    <w:rsid w:val="7BBFC6DE"/>
    <w:rsid w:val="7BCC102D"/>
    <w:rsid w:val="7BD67449"/>
    <w:rsid w:val="7C6A509A"/>
    <w:rsid w:val="7CA90740"/>
    <w:rsid w:val="7D4A770A"/>
    <w:rsid w:val="7DA33ADF"/>
    <w:rsid w:val="7E152F4C"/>
    <w:rsid w:val="7E7B78A9"/>
    <w:rsid w:val="7E7C50C3"/>
    <w:rsid w:val="7EC21853"/>
    <w:rsid w:val="7ECC0E31"/>
    <w:rsid w:val="7F798866"/>
    <w:rsid w:val="7FB9FA4F"/>
    <w:rsid w:val="7FBF2153"/>
    <w:rsid w:val="7FC21ABA"/>
    <w:rsid w:val="7FDA9040"/>
    <w:rsid w:val="7FE72667"/>
    <w:rsid w:val="7FFA72A2"/>
    <w:rsid w:val="7FFE06CB"/>
    <w:rsid w:val="7FFF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nhideWhenUsed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 w:qFormat="1"/>
    <w:lsdException w:name="Table Theme" w:locked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7B"/>
    <w:rPr>
      <w:rFonts w:eastAsia="PMingLiU"/>
      <w:lang w:eastAsia="zh-TW"/>
    </w:rPr>
  </w:style>
  <w:style w:type="paragraph" w:styleId="1">
    <w:name w:val="heading 1"/>
    <w:basedOn w:val="a"/>
    <w:next w:val="a"/>
    <w:link w:val="1Char"/>
    <w:uiPriority w:val="99"/>
    <w:qFormat/>
    <w:rsid w:val="00890D7B"/>
    <w:pPr>
      <w:keepNext/>
      <w:tabs>
        <w:tab w:val="left" w:pos="0"/>
      </w:tabs>
      <w:spacing w:before="60" w:after="60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890D7B"/>
    <w:pPr>
      <w:widowControl w:val="0"/>
      <w:adjustRightInd w:val="0"/>
      <w:textAlignment w:val="baseline"/>
    </w:pPr>
  </w:style>
  <w:style w:type="paragraph" w:styleId="a4">
    <w:name w:val="Body Text"/>
    <w:basedOn w:val="a"/>
    <w:link w:val="Char0"/>
    <w:uiPriority w:val="99"/>
    <w:qFormat/>
    <w:rsid w:val="00890D7B"/>
    <w:pPr>
      <w:tabs>
        <w:tab w:val="left" w:pos="0"/>
        <w:tab w:val="left" w:pos="993"/>
      </w:tabs>
      <w:spacing w:after="60"/>
    </w:pPr>
  </w:style>
  <w:style w:type="paragraph" w:styleId="a5">
    <w:name w:val="Body Text Indent"/>
    <w:basedOn w:val="a"/>
    <w:link w:val="Char1"/>
    <w:uiPriority w:val="99"/>
    <w:qFormat/>
    <w:rsid w:val="00890D7B"/>
    <w:pPr>
      <w:widowControl w:val="0"/>
      <w:ind w:left="980"/>
      <w:jc w:val="both"/>
    </w:pPr>
  </w:style>
  <w:style w:type="paragraph" w:styleId="a6">
    <w:name w:val="Date"/>
    <w:basedOn w:val="a"/>
    <w:next w:val="a"/>
    <w:link w:val="Char2"/>
    <w:uiPriority w:val="99"/>
    <w:qFormat/>
    <w:rsid w:val="00890D7B"/>
    <w:pPr>
      <w:widowControl w:val="0"/>
      <w:ind w:leftChars="2500" w:left="100"/>
      <w:jc w:val="both"/>
    </w:pPr>
  </w:style>
  <w:style w:type="paragraph" w:styleId="a7">
    <w:name w:val="Balloon Text"/>
    <w:basedOn w:val="a"/>
    <w:link w:val="Char3"/>
    <w:uiPriority w:val="99"/>
    <w:semiHidden/>
    <w:qFormat/>
    <w:rsid w:val="00890D7B"/>
    <w:rPr>
      <w:sz w:val="2"/>
    </w:rPr>
  </w:style>
  <w:style w:type="paragraph" w:styleId="a8">
    <w:name w:val="footer"/>
    <w:basedOn w:val="a"/>
    <w:link w:val="Char4"/>
    <w:uiPriority w:val="99"/>
    <w:qFormat/>
    <w:rsid w:val="00890D7B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890D7B"/>
    <w:pPr>
      <w:tabs>
        <w:tab w:val="center" w:pos="4320"/>
        <w:tab w:val="right" w:pos="8640"/>
      </w:tabs>
    </w:pPr>
  </w:style>
  <w:style w:type="paragraph" w:styleId="aa">
    <w:name w:val="Normal (Web)"/>
    <w:basedOn w:val="a"/>
    <w:uiPriority w:val="99"/>
    <w:qFormat/>
    <w:rsid w:val="00890D7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b">
    <w:name w:val="annotation subject"/>
    <w:basedOn w:val="a3"/>
    <w:next w:val="a3"/>
    <w:link w:val="Char6"/>
    <w:uiPriority w:val="99"/>
    <w:semiHidden/>
    <w:qFormat/>
    <w:rsid w:val="00890D7B"/>
    <w:pPr>
      <w:widowControl/>
      <w:adjustRightInd/>
      <w:textAlignment w:val="auto"/>
    </w:pPr>
    <w:rPr>
      <w:b/>
      <w:bCs/>
    </w:rPr>
  </w:style>
  <w:style w:type="table" w:styleId="ac">
    <w:name w:val="Table Grid"/>
    <w:basedOn w:val="a1"/>
    <w:qFormat/>
    <w:rsid w:val="00890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890D7B"/>
    <w:rPr>
      <w:b/>
      <w:bCs/>
    </w:rPr>
  </w:style>
  <w:style w:type="character" w:styleId="ae">
    <w:name w:val="Hyperlink"/>
    <w:uiPriority w:val="99"/>
    <w:qFormat/>
    <w:rsid w:val="00890D7B"/>
    <w:rPr>
      <w:rFonts w:cs="Times New Roman"/>
      <w:color w:val="0000FF"/>
      <w:u w:val="single"/>
    </w:rPr>
  </w:style>
  <w:style w:type="character" w:styleId="af">
    <w:name w:val="annotation reference"/>
    <w:uiPriority w:val="99"/>
    <w:semiHidden/>
    <w:qFormat/>
    <w:rsid w:val="00890D7B"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9"/>
    <w:qFormat/>
    <w:locked/>
    <w:rsid w:val="00890D7B"/>
    <w:rPr>
      <w:rFonts w:cs="Times New Roman"/>
      <w:b/>
      <w:bCs/>
      <w:kern w:val="44"/>
      <w:sz w:val="44"/>
      <w:szCs w:val="44"/>
      <w:lang w:eastAsia="zh-TW"/>
    </w:rPr>
  </w:style>
  <w:style w:type="character" w:customStyle="1" w:styleId="Char">
    <w:name w:val="批注文字 Char"/>
    <w:link w:val="a3"/>
    <w:uiPriority w:val="99"/>
    <w:semiHidden/>
    <w:qFormat/>
    <w:locked/>
    <w:rsid w:val="00890D7B"/>
    <w:rPr>
      <w:rFonts w:cs="Times New Roman"/>
      <w:kern w:val="0"/>
      <w:sz w:val="20"/>
      <w:szCs w:val="20"/>
      <w:lang w:eastAsia="zh-TW"/>
    </w:rPr>
  </w:style>
  <w:style w:type="character" w:customStyle="1" w:styleId="Char6">
    <w:name w:val="批注主题 Char"/>
    <w:link w:val="ab"/>
    <w:uiPriority w:val="99"/>
    <w:semiHidden/>
    <w:qFormat/>
    <w:locked/>
    <w:rsid w:val="00890D7B"/>
    <w:rPr>
      <w:rFonts w:cs="Times New Roman"/>
      <w:b/>
      <w:bCs/>
      <w:kern w:val="0"/>
      <w:sz w:val="20"/>
      <w:szCs w:val="20"/>
      <w:lang w:eastAsia="zh-TW"/>
    </w:rPr>
  </w:style>
  <w:style w:type="character" w:customStyle="1" w:styleId="Char0">
    <w:name w:val="正文文本 Char"/>
    <w:link w:val="a4"/>
    <w:uiPriority w:val="99"/>
    <w:semiHidden/>
    <w:qFormat/>
    <w:locked/>
    <w:rsid w:val="00890D7B"/>
    <w:rPr>
      <w:rFonts w:cs="Times New Roman"/>
      <w:kern w:val="0"/>
      <w:sz w:val="20"/>
      <w:szCs w:val="20"/>
      <w:lang w:eastAsia="zh-TW"/>
    </w:rPr>
  </w:style>
  <w:style w:type="character" w:customStyle="1" w:styleId="Char1">
    <w:name w:val="正文文本缩进 Char"/>
    <w:link w:val="a5"/>
    <w:uiPriority w:val="99"/>
    <w:semiHidden/>
    <w:qFormat/>
    <w:locked/>
    <w:rsid w:val="00890D7B"/>
    <w:rPr>
      <w:rFonts w:cs="Times New Roman"/>
      <w:kern w:val="0"/>
      <w:sz w:val="20"/>
      <w:szCs w:val="20"/>
      <w:lang w:eastAsia="zh-TW"/>
    </w:rPr>
  </w:style>
  <w:style w:type="character" w:customStyle="1" w:styleId="Char2">
    <w:name w:val="日期 Char"/>
    <w:link w:val="a6"/>
    <w:uiPriority w:val="99"/>
    <w:semiHidden/>
    <w:qFormat/>
    <w:locked/>
    <w:rsid w:val="00890D7B"/>
    <w:rPr>
      <w:rFonts w:cs="Times New Roman"/>
      <w:kern w:val="0"/>
      <w:sz w:val="20"/>
      <w:szCs w:val="20"/>
      <w:lang w:eastAsia="zh-TW"/>
    </w:rPr>
  </w:style>
  <w:style w:type="character" w:customStyle="1" w:styleId="Char3">
    <w:name w:val="批注框文本 Char"/>
    <w:link w:val="a7"/>
    <w:uiPriority w:val="99"/>
    <w:semiHidden/>
    <w:qFormat/>
    <w:locked/>
    <w:rsid w:val="00890D7B"/>
    <w:rPr>
      <w:rFonts w:cs="Times New Roman"/>
      <w:kern w:val="0"/>
      <w:sz w:val="2"/>
      <w:lang w:eastAsia="zh-TW"/>
    </w:rPr>
  </w:style>
  <w:style w:type="character" w:customStyle="1" w:styleId="Char4">
    <w:name w:val="页脚 Char"/>
    <w:link w:val="a8"/>
    <w:uiPriority w:val="99"/>
    <w:qFormat/>
    <w:locked/>
    <w:rsid w:val="00890D7B"/>
    <w:rPr>
      <w:rFonts w:cs="Times New Roman"/>
      <w:kern w:val="0"/>
      <w:sz w:val="18"/>
      <w:szCs w:val="18"/>
      <w:lang w:eastAsia="zh-TW"/>
    </w:rPr>
  </w:style>
  <w:style w:type="character" w:customStyle="1" w:styleId="Char5">
    <w:name w:val="页眉 Char"/>
    <w:link w:val="a9"/>
    <w:uiPriority w:val="99"/>
    <w:qFormat/>
    <w:locked/>
    <w:rsid w:val="00890D7B"/>
    <w:rPr>
      <w:rFonts w:cs="Times New Roman"/>
      <w:lang w:eastAsia="zh-TW"/>
    </w:rPr>
  </w:style>
  <w:style w:type="paragraph" w:customStyle="1" w:styleId="Address">
    <w:name w:val="Address"/>
    <w:basedOn w:val="a"/>
    <w:uiPriority w:val="99"/>
    <w:qFormat/>
    <w:rsid w:val="00890D7B"/>
    <w:pPr>
      <w:pBdr>
        <w:left w:val="single" w:sz="4" w:space="6" w:color="auto"/>
      </w:pBdr>
      <w:spacing w:line="200" w:lineRule="exact"/>
    </w:pPr>
    <w:rPr>
      <w:rFonts w:eastAsia="宋体"/>
      <w:sz w:val="16"/>
      <w:lang w:eastAsia="en-US"/>
    </w:rPr>
  </w:style>
  <w:style w:type="paragraph" w:styleId="af0">
    <w:name w:val="List Paragraph"/>
    <w:basedOn w:val="a"/>
    <w:uiPriority w:val="34"/>
    <w:qFormat/>
    <w:rsid w:val="00890D7B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890D7B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paragraph" w:styleId="af1">
    <w:name w:val="No Spacing"/>
    <w:uiPriority w:val="1"/>
    <w:qFormat/>
    <w:rsid w:val="00890D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">
    <w:name w:val="列出段落2"/>
    <w:basedOn w:val="a"/>
    <w:uiPriority w:val="99"/>
    <w:unhideWhenUsed/>
    <w:qFormat/>
    <w:rsid w:val="00890D7B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apple-converted-space">
    <w:name w:val="apple-converted-space"/>
    <w:basedOn w:val="a0"/>
    <w:qFormat/>
    <w:rsid w:val="00890D7B"/>
  </w:style>
  <w:style w:type="paragraph" w:customStyle="1" w:styleId="Default">
    <w:name w:val="Default"/>
    <w:qFormat/>
    <w:rsid w:val="00890D7B"/>
    <w:pPr>
      <w:widowControl w:val="0"/>
      <w:autoSpaceDE w:val="0"/>
      <w:autoSpaceDN w:val="0"/>
      <w:adjustRightInd w:val="0"/>
    </w:pPr>
    <w:rPr>
      <w:rFonts w:ascii="方正小标宋_GBK" w:eastAsia="方正小标宋_GBK" w:cs="方正小标宋_GBK"/>
      <w:color w:val="000000"/>
      <w:sz w:val="24"/>
      <w:szCs w:val="24"/>
    </w:rPr>
  </w:style>
  <w:style w:type="paragraph" w:customStyle="1" w:styleId="3">
    <w:name w:val="列出段落3"/>
    <w:basedOn w:val="a"/>
    <w:qFormat/>
    <w:rsid w:val="00890D7B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lang w:eastAsia="zh-CN"/>
    </w:rPr>
  </w:style>
  <w:style w:type="character" w:customStyle="1" w:styleId="font51">
    <w:name w:val="font51"/>
    <w:basedOn w:val="a0"/>
    <w:qFormat/>
    <w:rsid w:val="00890D7B"/>
    <w:rPr>
      <w:rFonts w:ascii="Arial Narrow" w:eastAsia="Arial Narrow" w:hAnsi="Arial Narrow" w:cs="Arial Narrow" w:hint="default"/>
      <w:color w:val="000000"/>
      <w:sz w:val="16"/>
      <w:szCs w:val="16"/>
      <w:u w:val="none"/>
    </w:rPr>
  </w:style>
  <w:style w:type="paragraph" w:customStyle="1" w:styleId="ParaCharCharCharCharCharCharChar">
    <w:name w:val="默认段落字体 Para Char Char Char Char Char Char Char"/>
    <w:basedOn w:val="a"/>
    <w:qFormat/>
    <w:rsid w:val="00890D7B"/>
    <w:rPr>
      <w:rFonts w:ascii="Tahoma" w:hAnsi="Tahoma"/>
      <w:sz w:val="24"/>
    </w:rPr>
  </w:style>
  <w:style w:type="character" w:customStyle="1" w:styleId="font81">
    <w:name w:val="font81"/>
    <w:basedOn w:val="a0"/>
    <w:qFormat/>
    <w:rsid w:val="00890D7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890D7B"/>
    <w:rPr>
      <w:rFonts w:ascii="Arial Narrow" w:eastAsia="Arial Narrow" w:hAnsi="Arial Narrow" w:cs="Arial Narrow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890D7B"/>
    <w:rPr>
      <w:rFonts w:ascii="仿宋_GB2312" w:eastAsia="仿宋_GB2312" w:cs="仿宋_GB2312" w:hint="eastAsia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890D7B"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890D7B"/>
    <w:rPr>
      <w:rFonts w:ascii="Arial Narrow" w:eastAsia="Arial Narrow" w:hAnsi="Arial Narrow" w:cs="Arial Narrow" w:hint="default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890D7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890D7B"/>
    <w:rPr>
      <w:rFonts w:ascii="Arial Narrow" w:eastAsia="Arial Narrow" w:hAnsi="Arial Narrow" w:cs="Arial Narrow" w:hint="default"/>
      <w:b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sid w:val="00890D7B"/>
    <w:rPr>
      <w:rFonts w:ascii="仿宋_GB2312" w:eastAsia="仿宋_GB2312" w:cs="仿宋_GB2312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890D7B"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sid w:val="00890D7B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sid w:val="00890D7B"/>
    <w:rPr>
      <w:rFonts w:ascii="Arial Narrow" w:eastAsia="Arial Narrow" w:hAnsi="Arial Narrow" w:cs="Arial Narrow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890D7B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9D4839-BBB2-42C4-9AB8-BC87BFB9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885</Words>
  <Characters>5051</Characters>
  <Application>Microsoft Office Word</Application>
  <DocSecurity>0</DocSecurity>
  <Lines>42</Lines>
  <Paragraphs>11</Paragraphs>
  <ScaleCrop>false</ScaleCrop>
  <Company>Edsaco Horwath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XXXXXX股份有限公司</dc:title>
  <dc:creator>SW</dc:creator>
  <cp:lastModifiedBy>Windows User</cp:lastModifiedBy>
  <cp:revision>32</cp:revision>
  <cp:lastPrinted>2025-11-04T08:13:00Z</cp:lastPrinted>
  <dcterms:created xsi:type="dcterms:W3CDTF">2021-05-16T18:50:00Z</dcterms:created>
  <dcterms:modified xsi:type="dcterms:W3CDTF">2025-11-19T05:41:00Z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3428CB9D4FC84D4781F7824BC0B2C3CA</vt:lpwstr>
  </property>
  <property fmtid="{D5CDD505-2E9C-101B-9397-08002B2CF9AE}" pid="4" name="KSOSaveFontToCloudKey">
    <vt:lpwstr>374504822_btnclosed</vt:lpwstr>
  </property>
  <property fmtid="{D5CDD505-2E9C-101B-9397-08002B2CF9AE}" pid="5" name="KSOTemplateDocerSaveRecord">
    <vt:lpwstr>eyJoZGlkIjoiMTVkNjNlOGE3Y2Y4Y2VkMjJiM2JiZGRjZWMwYjgwODIiLCJ1c2VySWQiOiI1NDk4MTQ4MzYifQ==</vt:lpwstr>
  </property>
</Properties>
</file>