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附件6</w:t>
      </w:r>
    </w:p>
    <w:p>
      <w:pPr>
        <w:spacing w:line="600" w:lineRule="exact"/>
        <w:ind w:firstLine="2160" w:firstLineChars="600"/>
        <w:rPr>
          <w:rFonts w:ascii="方正小标宋_GBK" w:eastAsia="方正小标宋_GBK"/>
          <w:bCs/>
          <w:color w:val="auto"/>
          <w:sz w:val="36"/>
          <w:szCs w:val="36"/>
          <w:u w:color="000000"/>
        </w:rPr>
      </w:pPr>
      <w:r>
        <w:rPr>
          <w:rFonts w:hint="eastAsia" w:ascii="方正小标宋_GBK" w:eastAsia="方正小标宋_GBK"/>
          <w:bCs/>
          <w:color w:val="auto"/>
          <w:sz w:val="36"/>
          <w:szCs w:val="36"/>
          <w:u w:color="000000"/>
        </w:rPr>
        <w:t>双阳区2023年学校（幼儿园）</w:t>
      </w:r>
    </w:p>
    <w:p>
      <w:pPr>
        <w:spacing w:line="600" w:lineRule="exact"/>
        <w:jc w:val="center"/>
        <w:rPr>
          <w:rFonts w:ascii="方正小标宋_GBK" w:eastAsia="方正小标宋_GBK"/>
          <w:bCs/>
          <w:color w:val="auto"/>
          <w:sz w:val="36"/>
          <w:szCs w:val="36"/>
          <w:u w:color="000000"/>
        </w:rPr>
      </w:pPr>
      <w:r>
        <w:rPr>
          <w:rFonts w:hint="eastAsia" w:ascii="方正小标宋_GBK" w:eastAsia="方正小标宋_GBK"/>
          <w:bCs/>
          <w:color w:val="auto"/>
          <w:sz w:val="36"/>
          <w:szCs w:val="36"/>
          <w:u w:color="000000"/>
        </w:rPr>
        <w:t>“三线并行  提标提质”督导评估加扣分及</w:t>
      </w:r>
      <w:r>
        <w:rPr>
          <w:rFonts w:ascii="方正小标宋_GBK" w:eastAsia="方正小标宋_GBK"/>
          <w:bCs/>
          <w:color w:val="auto"/>
          <w:sz w:val="36"/>
          <w:szCs w:val="36"/>
          <w:u w:color="000000"/>
        </w:rPr>
        <w:t>否决</w:t>
      </w:r>
      <w:r>
        <w:rPr>
          <w:rFonts w:hint="eastAsia" w:ascii="方正小标宋_GBK" w:eastAsia="方正小标宋_GBK"/>
          <w:bCs/>
          <w:color w:val="auto"/>
          <w:sz w:val="36"/>
          <w:szCs w:val="36"/>
          <w:u w:color="000000"/>
        </w:rPr>
        <w:t>项目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color w:val="auto"/>
          <w:sz w:val="32"/>
          <w:szCs w:val="32"/>
          <w:u w:color="000000"/>
        </w:rPr>
      </w:pP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color w:val="auto"/>
          <w:sz w:val="32"/>
          <w:szCs w:val="32"/>
          <w:u w:color="000000"/>
        </w:rPr>
      </w:pPr>
      <w:r>
        <w:rPr>
          <w:rFonts w:hint="eastAsia" w:ascii="黑体" w:hAnsi="黑体" w:eastAsia="黑体"/>
          <w:color w:val="auto"/>
          <w:sz w:val="32"/>
          <w:szCs w:val="32"/>
          <w:u w:color="000000"/>
        </w:rPr>
        <w:t>一、加分项目</w:t>
      </w:r>
    </w:p>
    <w:p>
      <w:pPr>
        <w:spacing w:line="600" w:lineRule="exact"/>
        <w:ind w:firstLine="640" w:firstLineChars="200"/>
        <w:jc w:val="left"/>
        <w:rPr>
          <w:rFonts w:eastAsia="仿宋_GB2312"/>
          <w:color w:val="auto"/>
          <w:sz w:val="32"/>
          <w:szCs w:val="32"/>
          <w:u w:color="000000"/>
        </w:rPr>
      </w:pPr>
      <w:r>
        <w:rPr>
          <w:rFonts w:eastAsia="仿宋_GB2312"/>
          <w:color w:val="auto"/>
          <w:sz w:val="32"/>
          <w:szCs w:val="32"/>
          <w:u w:color="000000"/>
        </w:rPr>
        <w:t>1.</w:t>
      </w:r>
      <w:r>
        <w:rPr>
          <w:rFonts w:hint="eastAsia" w:eastAsia="仿宋_GB2312"/>
          <w:color w:val="auto"/>
          <w:sz w:val="32"/>
          <w:szCs w:val="32"/>
          <w:u w:color="000000"/>
        </w:rPr>
        <w:t>受市级及以上政府和教育行政部门表彰的，综合先进按照</w:t>
      </w:r>
      <w:bookmarkStart w:id="0" w:name="_GoBack"/>
      <w:bookmarkEnd w:id="0"/>
      <w:r>
        <w:rPr>
          <w:rFonts w:hint="eastAsia" w:eastAsia="仿宋_GB2312"/>
          <w:color w:val="auto"/>
          <w:sz w:val="32"/>
          <w:szCs w:val="32"/>
          <w:u w:color="000000"/>
        </w:rPr>
        <w:t>市、省和国家不同等级分别加</w:t>
      </w:r>
      <w:r>
        <w:rPr>
          <w:rFonts w:eastAsia="仿宋_GB2312"/>
          <w:color w:val="auto"/>
          <w:sz w:val="32"/>
          <w:szCs w:val="32"/>
          <w:u w:color="000000"/>
        </w:rPr>
        <w:t>3</w:t>
      </w:r>
      <w:r>
        <w:rPr>
          <w:rFonts w:hint="eastAsia" w:eastAsia="仿宋_GB2312"/>
          <w:color w:val="auto"/>
          <w:sz w:val="32"/>
          <w:szCs w:val="32"/>
          <w:u w:color="000000"/>
        </w:rPr>
        <w:t>分、</w:t>
      </w:r>
      <w:r>
        <w:rPr>
          <w:rFonts w:eastAsia="仿宋_GB2312"/>
          <w:color w:val="auto"/>
          <w:sz w:val="32"/>
          <w:szCs w:val="32"/>
          <w:u w:color="000000"/>
        </w:rPr>
        <w:t>4</w:t>
      </w:r>
      <w:r>
        <w:rPr>
          <w:rFonts w:hint="eastAsia" w:eastAsia="仿宋_GB2312"/>
          <w:color w:val="auto"/>
          <w:sz w:val="32"/>
          <w:szCs w:val="32"/>
          <w:u w:color="000000"/>
        </w:rPr>
        <w:t>分和</w:t>
      </w:r>
      <w:r>
        <w:rPr>
          <w:rFonts w:eastAsia="仿宋_GB2312"/>
          <w:color w:val="auto"/>
          <w:sz w:val="32"/>
          <w:szCs w:val="32"/>
          <w:u w:color="000000"/>
        </w:rPr>
        <w:t>5</w:t>
      </w:r>
      <w:r>
        <w:rPr>
          <w:rFonts w:hint="eastAsia" w:eastAsia="仿宋_GB2312"/>
          <w:color w:val="auto"/>
          <w:sz w:val="32"/>
          <w:szCs w:val="32"/>
          <w:u w:color="000000"/>
        </w:rPr>
        <w:t>分；单项先进按照市、省和国家不同等级分别加</w:t>
      </w:r>
      <w:r>
        <w:rPr>
          <w:rFonts w:eastAsia="仿宋_GB2312"/>
          <w:color w:val="auto"/>
          <w:sz w:val="32"/>
          <w:szCs w:val="32"/>
          <w:u w:color="000000"/>
        </w:rPr>
        <w:t>1</w:t>
      </w:r>
      <w:r>
        <w:rPr>
          <w:rFonts w:hint="eastAsia" w:eastAsia="仿宋_GB2312"/>
          <w:color w:val="auto"/>
          <w:sz w:val="32"/>
          <w:szCs w:val="32"/>
          <w:u w:color="000000"/>
        </w:rPr>
        <w:t>分、</w:t>
      </w:r>
      <w:r>
        <w:rPr>
          <w:rFonts w:eastAsia="仿宋_GB2312"/>
          <w:color w:val="auto"/>
          <w:sz w:val="32"/>
          <w:szCs w:val="32"/>
          <w:u w:color="000000"/>
        </w:rPr>
        <w:t>2</w:t>
      </w:r>
      <w:r>
        <w:rPr>
          <w:rFonts w:hint="eastAsia" w:eastAsia="仿宋_GB2312"/>
          <w:color w:val="auto"/>
          <w:sz w:val="32"/>
          <w:szCs w:val="32"/>
          <w:u w:color="000000"/>
        </w:rPr>
        <w:t>分和</w:t>
      </w:r>
      <w:r>
        <w:rPr>
          <w:rFonts w:eastAsia="仿宋_GB2312"/>
          <w:color w:val="auto"/>
          <w:sz w:val="32"/>
          <w:szCs w:val="32"/>
          <w:u w:color="000000"/>
        </w:rPr>
        <w:t>3</w:t>
      </w:r>
      <w:r>
        <w:rPr>
          <w:rFonts w:hint="eastAsia" w:eastAsia="仿宋_GB2312"/>
          <w:color w:val="auto"/>
          <w:sz w:val="32"/>
          <w:szCs w:val="32"/>
          <w:u w:color="000000"/>
        </w:rPr>
        <w:t>分。（此项颁证部门为教育部、厅、局或区级政府）</w:t>
      </w:r>
    </w:p>
    <w:p>
      <w:pPr>
        <w:spacing w:line="600" w:lineRule="exact"/>
        <w:ind w:firstLine="640" w:firstLineChars="200"/>
        <w:jc w:val="left"/>
        <w:rPr>
          <w:rFonts w:eastAsia="仿宋_GB2312"/>
          <w:color w:val="auto"/>
          <w:sz w:val="32"/>
          <w:szCs w:val="32"/>
          <w:u w:color="000000"/>
        </w:rPr>
      </w:pPr>
      <w:r>
        <w:rPr>
          <w:rFonts w:eastAsia="仿宋_GB2312"/>
          <w:color w:val="auto"/>
          <w:sz w:val="32"/>
          <w:szCs w:val="32"/>
          <w:u w:color="000000"/>
        </w:rPr>
        <w:t>2.</w:t>
      </w:r>
      <w:r>
        <w:rPr>
          <w:rFonts w:hint="eastAsia" w:eastAsia="仿宋_GB2312"/>
          <w:color w:val="auto"/>
          <w:sz w:val="32"/>
          <w:szCs w:val="32"/>
          <w:u w:color="000000"/>
        </w:rPr>
        <w:t>受市级及以上教研部门表彰的，按照市、省和国家不同等级分别加</w:t>
      </w:r>
      <w:r>
        <w:rPr>
          <w:rFonts w:eastAsia="仿宋_GB2312"/>
          <w:color w:val="auto"/>
          <w:sz w:val="32"/>
          <w:szCs w:val="32"/>
          <w:u w:color="000000"/>
        </w:rPr>
        <w:t>0.5</w:t>
      </w:r>
      <w:r>
        <w:rPr>
          <w:rFonts w:hint="eastAsia" w:eastAsia="仿宋_GB2312"/>
          <w:color w:val="auto"/>
          <w:sz w:val="32"/>
          <w:szCs w:val="32"/>
          <w:u w:color="000000"/>
        </w:rPr>
        <w:t>分、</w:t>
      </w:r>
      <w:r>
        <w:rPr>
          <w:rFonts w:eastAsia="仿宋_GB2312"/>
          <w:color w:val="auto"/>
          <w:sz w:val="32"/>
          <w:szCs w:val="32"/>
          <w:u w:color="000000"/>
        </w:rPr>
        <w:t>0.8</w:t>
      </w:r>
      <w:r>
        <w:rPr>
          <w:rFonts w:hint="eastAsia" w:eastAsia="仿宋_GB2312"/>
          <w:color w:val="auto"/>
          <w:sz w:val="32"/>
          <w:szCs w:val="32"/>
          <w:u w:color="000000"/>
        </w:rPr>
        <w:t>分和</w:t>
      </w:r>
      <w:r>
        <w:rPr>
          <w:rFonts w:eastAsia="仿宋_GB2312"/>
          <w:color w:val="auto"/>
          <w:sz w:val="32"/>
          <w:szCs w:val="32"/>
          <w:u w:color="000000"/>
        </w:rPr>
        <w:t>1</w:t>
      </w:r>
      <w:r>
        <w:rPr>
          <w:rFonts w:hint="eastAsia" w:eastAsia="仿宋_GB2312"/>
          <w:color w:val="auto"/>
          <w:sz w:val="32"/>
          <w:szCs w:val="32"/>
          <w:u w:color="000000"/>
        </w:rPr>
        <w:t>分。</w:t>
      </w:r>
    </w:p>
    <w:p>
      <w:pPr>
        <w:spacing w:line="600" w:lineRule="exact"/>
        <w:ind w:firstLine="640" w:firstLineChars="200"/>
        <w:jc w:val="left"/>
        <w:rPr>
          <w:rFonts w:eastAsia="仿宋_GB2312"/>
          <w:color w:val="auto"/>
          <w:sz w:val="32"/>
          <w:szCs w:val="32"/>
          <w:u w:color="000000"/>
        </w:rPr>
      </w:pPr>
      <w:r>
        <w:rPr>
          <w:rFonts w:eastAsia="仿宋_GB2312"/>
          <w:color w:val="auto"/>
          <w:sz w:val="32"/>
          <w:szCs w:val="32"/>
          <w:u w:color="000000"/>
        </w:rPr>
        <w:t>3.</w:t>
      </w:r>
      <w:r>
        <w:rPr>
          <w:rFonts w:hint="eastAsia" w:eastAsia="仿宋_GB2312"/>
          <w:color w:val="auto"/>
          <w:sz w:val="32"/>
          <w:szCs w:val="32"/>
          <w:u w:color="000000"/>
        </w:rPr>
        <w:t>承办区级及以上现场会的按照区、市、省和国家分别加</w:t>
      </w:r>
      <w:r>
        <w:rPr>
          <w:rFonts w:eastAsia="仿宋_GB2312"/>
          <w:color w:val="auto"/>
          <w:sz w:val="32"/>
          <w:szCs w:val="32"/>
          <w:u w:color="000000"/>
        </w:rPr>
        <w:t>2</w:t>
      </w:r>
      <w:r>
        <w:rPr>
          <w:rFonts w:hint="eastAsia" w:eastAsia="仿宋_GB2312"/>
          <w:color w:val="auto"/>
          <w:sz w:val="32"/>
          <w:szCs w:val="32"/>
          <w:u w:color="000000"/>
        </w:rPr>
        <w:t>分、</w:t>
      </w:r>
      <w:r>
        <w:rPr>
          <w:rFonts w:eastAsia="仿宋_GB2312"/>
          <w:color w:val="auto"/>
          <w:sz w:val="32"/>
          <w:szCs w:val="32"/>
          <w:u w:color="000000"/>
        </w:rPr>
        <w:t>3</w:t>
      </w:r>
      <w:r>
        <w:rPr>
          <w:rFonts w:hint="eastAsia" w:eastAsia="仿宋_GB2312"/>
          <w:color w:val="auto"/>
          <w:sz w:val="32"/>
          <w:szCs w:val="32"/>
          <w:u w:color="000000"/>
        </w:rPr>
        <w:t>分、</w:t>
      </w:r>
      <w:r>
        <w:rPr>
          <w:rFonts w:eastAsia="仿宋_GB2312"/>
          <w:color w:val="auto"/>
          <w:sz w:val="32"/>
          <w:szCs w:val="32"/>
          <w:u w:color="000000"/>
        </w:rPr>
        <w:t>4</w:t>
      </w:r>
      <w:r>
        <w:rPr>
          <w:rFonts w:hint="eastAsia" w:eastAsia="仿宋_GB2312"/>
          <w:color w:val="auto"/>
          <w:sz w:val="32"/>
          <w:szCs w:val="32"/>
          <w:u w:color="000000"/>
        </w:rPr>
        <w:t>分和</w:t>
      </w:r>
      <w:r>
        <w:rPr>
          <w:rFonts w:eastAsia="仿宋_GB2312"/>
          <w:color w:val="auto"/>
          <w:sz w:val="32"/>
          <w:szCs w:val="32"/>
          <w:u w:color="000000"/>
        </w:rPr>
        <w:t>6</w:t>
      </w:r>
      <w:r>
        <w:rPr>
          <w:rFonts w:hint="eastAsia" w:eastAsia="仿宋_GB2312"/>
          <w:color w:val="auto"/>
          <w:sz w:val="32"/>
          <w:szCs w:val="32"/>
          <w:u w:color="000000"/>
        </w:rPr>
        <w:t>分，在现场会上作经验交流的按区、市、省、国家不同等级分别加</w:t>
      </w:r>
      <w:r>
        <w:rPr>
          <w:rFonts w:eastAsia="仿宋_GB2312"/>
          <w:color w:val="auto"/>
          <w:sz w:val="32"/>
          <w:szCs w:val="32"/>
          <w:u w:color="000000"/>
        </w:rPr>
        <w:t>0.5</w:t>
      </w:r>
      <w:r>
        <w:rPr>
          <w:rFonts w:hint="eastAsia" w:eastAsia="仿宋_GB2312"/>
          <w:color w:val="auto"/>
          <w:sz w:val="32"/>
          <w:szCs w:val="32"/>
          <w:u w:color="000000"/>
        </w:rPr>
        <w:t>分、</w:t>
      </w:r>
      <w:r>
        <w:rPr>
          <w:rFonts w:eastAsia="仿宋_GB2312"/>
          <w:color w:val="auto"/>
          <w:sz w:val="32"/>
          <w:szCs w:val="32"/>
          <w:u w:color="000000"/>
        </w:rPr>
        <w:t>1</w:t>
      </w:r>
      <w:r>
        <w:rPr>
          <w:rFonts w:hint="eastAsia" w:eastAsia="仿宋_GB2312"/>
          <w:color w:val="auto"/>
          <w:sz w:val="32"/>
          <w:szCs w:val="32"/>
          <w:u w:color="000000"/>
        </w:rPr>
        <w:t>分、</w:t>
      </w:r>
      <w:r>
        <w:rPr>
          <w:rFonts w:eastAsia="仿宋_GB2312"/>
          <w:color w:val="auto"/>
          <w:sz w:val="32"/>
          <w:szCs w:val="32"/>
          <w:u w:color="000000"/>
        </w:rPr>
        <w:t>1.5</w:t>
      </w:r>
      <w:r>
        <w:rPr>
          <w:rFonts w:hint="eastAsia" w:eastAsia="仿宋_GB2312"/>
          <w:color w:val="auto"/>
          <w:sz w:val="32"/>
          <w:szCs w:val="32"/>
          <w:u w:color="000000"/>
        </w:rPr>
        <w:t>分和</w:t>
      </w:r>
      <w:r>
        <w:rPr>
          <w:rFonts w:eastAsia="仿宋_GB2312"/>
          <w:color w:val="auto"/>
          <w:sz w:val="32"/>
          <w:szCs w:val="32"/>
          <w:u w:color="000000"/>
        </w:rPr>
        <w:t>2</w:t>
      </w:r>
      <w:r>
        <w:rPr>
          <w:rFonts w:hint="eastAsia" w:eastAsia="仿宋_GB2312"/>
          <w:color w:val="auto"/>
          <w:sz w:val="32"/>
          <w:szCs w:val="32"/>
          <w:u w:color="000000"/>
        </w:rPr>
        <w:t>分，承办现场会和会上交流不重复加分。</w:t>
      </w:r>
    </w:p>
    <w:p>
      <w:pPr>
        <w:spacing w:line="600" w:lineRule="exact"/>
        <w:ind w:firstLine="640" w:firstLineChars="200"/>
        <w:jc w:val="left"/>
        <w:rPr>
          <w:rFonts w:eastAsia="仿宋_GB2312"/>
          <w:color w:val="auto"/>
          <w:sz w:val="32"/>
          <w:szCs w:val="32"/>
          <w:u w:color="000000"/>
        </w:rPr>
      </w:pPr>
      <w:r>
        <w:rPr>
          <w:rFonts w:eastAsia="仿宋_GB2312"/>
          <w:color w:val="auto"/>
          <w:sz w:val="32"/>
          <w:szCs w:val="32"/>
          <w:u w:color="000000"/>
        </w:rPr>
        <w:t>4.</w:t>
      </w:r>
      <w:r>
        <w:rPr>
          <w:rFonts w:hint="eastAsia" w:eastAsia="仿宋_GB2312"/>
          <w:color w:val="auto"/>
          <w:sz w:val="32"/>
          <w:szCs w:val="32"/>
          <w:u w:color="000000"/>
        </w:rPr>
        <w:t>对接受市、省、国家级层面综合检查的学校（幼儿园），取得一定成效的，视其具体情况加</w:t>
      </w:r>
      <w:r>
        <w:rPr>
          <w:rFonts w:eastAsia="仿宋_GB2312"/>
          <w:color w:val="auto"/>
          <w:sz w:val="32"/>
          <w:szCs w:val="32"/>
          <w:u w:color="000000"/>
        </w:rPr>
        <w:t>1——3</w:t>
      </w:r>
      <w:r>
        <w:rPr>
          <w:rFonts w:hint="eastAsia" w:eastAsia="仿宋_GB2312"/>
          <w:color w:val="auto"/>
          <w:sz w:val="32"/>
          <w:szCs w:val="32"/>
          <w:u w:color="000000"/>
        </w:rPr>
        <w:t>分。</w:t>
      </w:r>
    </w:p>
    <w:p>
      <w:pPr>
        <w:spacing w:line="600" w:lineRule="exact"/>
        <w:ind w:firstLine="640" w:firstLineChars="200"/>
        <w:jc w:val="left"/>
        <w:rPr>
          <w:rFonts w:eastAsia="仿宋_GB2312"/>
          <w:color w:val="auto"/>
          <w:sz w:val="32"/>
          <w:szCs w:val="32"/>
          <w:u w:color="000000"/>
        </w:rPr>
      </w:pPr>
      <w:r>
        <w:rPr>
          <w:rFonts w:eastAsia="仿宋_GB2312"/>
          <w:color w:val="auto"/>
          <w:sz w:val="32"/>
          <w:szCs w:val="32"/>
          <w:u w:color="000000"/>
        </w:rPr>
        <w:t>5.</w:t>
      </w:r>
      <w:r>
        <w:rPr>
          <w:rFonts w:hint="eastAsia" w:eastAsia="仿宋_GB2312"/>
          <w:color w:val="auto"/>
          <w:sz w:val="32"/>
          <w:szCs w:val="32"/>
          <w:u w:color="000000"/>
        </w:rPr>
        <w:t>学校（幼儿园）在典型推介督导中提供治校治教经验，被选树为典型的学校（幼儿园），视其具体情况加</w:t>
      </w:r>
      <w:r>
        <w:rPr>
          <w:rFonts w:eastAsia="仿宋_GB2312"/>
          <w:color w:val="auto"/>
          <w:sz w:val="32"/>
          <w:szCs w:val="32"/>
          <w:u w:color="000000"/>
        </w:rPr>
        <w:t>1——3</w:t>
      </w:r>
      <w:r>
        <w:rPr>
          <w:rFonts w:hint="eastAsia" w:eastAsia="仿宋_GB2312"/>
          <w:color w:val="auto"/>
          <w:sz w:val="32"/>
          <w:szCs w:val="32"/>
          <w:u w:color="000000"/>
        </w:rPr>
        <w:t>分。</w:t>
      </w:r>
    </w:p>
    <w:p>
      <w:pPr>
        <w:spacing w:line="600" w:lineRule="exact"/>
        <w:ind w:firstLine="640" w:firstLineChars="200"/>
        <w:jc w:val="left"/>
        <w:rPr>
          <w:rFonts w:eastAsia="仿宋_GB2312"/>
          <w:color w:val="auto"/>
          <w:sz w:val="32"/>
          <w:szCs w:val="32"/>
          <w:u w:color="000000"/>
        </w:rPr>
      </w:pPr>
      <w:r>
        <w:rPr>
          <w:rFonts w:hint="eastAsia" w:eastAsia="仿宋_GB2312"/>
          <w:color w:val="auto"/>
          <w:sz w:val="32"/>
          <w:szCs w:val="32"/>
          <w:u w:color="000000"/>
        </w:rPr>
        <w:t>（备注：加分上线为</w:t>
      </w:r>
      <w:r>
        <w:rPr>
          <w:rFonts w:eastAsia="仿宋_GB2312"/>
          <w:color w:val="auto"/>
          <w:sz w:val="32"/>
          <w:szCs w:val="32"/>
          <w:u w:color="000000"/>
        </w:rPr>
        <w:t>10</w:t>
      </w:r>
      <w:r>
        <w:rPr>
          <w:rFonts w:hint="eastAsia" w:eastAsia="仿宋_GB2312"/>
          <w:color w:val="auto"/>
          <w:sz w:val="32"/>
          <w:szCs w:val="32"/>
          <w:u w:color="000000"/>
        </w:rPr>
        <w:t>分，超过</w:t>
      </w:r>
      <w:r>
        <w:rPr>
          <w:rFonts w:eastAsia="仿宋_GB2312"/>
          <w:color w:val="auto"/>
          <w:sz w:val="32"/>
          <w:szCs w:val="32"/>
          <w:u w:color="000000"/>
        </w:rPr>
        <w:t>10</w:t>
      </w:r>
      <w:r>
        <w:rPr>
          <w:rFonts w:hint="eastAsia" w:eastAsia="仿宋_GB2312"/>
          <w:color w:val="auto"/>
          <w:sz w:val="32"/>
          <w:szCs w:val="32"/>
          <w:u w:color="000000"/>
        </w:rPr>
        <w:t>分按</w:t>
      </w:r>
      <w:r>
        <w:rPr>
          <w:rFonts w:eastAsia="仿宋_GB2312"/>
          <w:color w:val="auto"/>
          <w:sz w:val="32"/>
          <w:szCs w:val="32"/>
          <w:u w:color="000000"/>
        </w:rPr>
        <w:t>10</w:t>
      </w:r>
      <w:r>
        <w:rPr>
          <w:rFonts w:hint="eastAsia" w:eastAsia="仿宋_GB2312"/>
          <w:color w:val="auto"/>
          <w:sz w:val="32"/>
          <w:szCs w:val="32"/>
          <w:u w:color="000000"/>
        </w:rPr>
        <w:t>分计算。）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color w:val="auto"/>
          <w:sz w:val="32"/>
          <w:szCs w:val="32"/>
          <w:u w:color="000000"/>
        </w:rPr>
      </w:pPr>
      <w:r>
        <w:rPr>
          <w:rFonts w:hint="eastAsia" w:ascii="黑体" w:hAnsi="黑体" w:eastAsia="黑体"/>
          <w:color w:val="auto"/>
          <w:sz w:val="32"/>
          <w:szCs w:val="32"/>
          <w:u w:color="000000"/>
        </w:rPr>
        <w:t>二、扣分项目</w:t>
      </w:r>
    </w:p>
    <w:p>
      <w:pPr>
        <w:spacing w:line="600" w:lineRule="exact"/>
        <w:ind w:firstLine="640" w:firstLineChars="200"/>
        <w:jc w:val="left"/>
        <w:rPr>
          <w:rFonts w:eastAsia="仿宋_GB2312"/>
          <w:color w:val="auto"/>
          <w:sz w:val="32"/>
          <w:szCs w:val="32"/>
          <w:u w:color="000000"/>
        </w:rPr>
      </w:pPr>
      <w:r>
        <w:rPr>
          <w:rFonts w:eastAsia="仿宋_GB2312"/>
          <w:color w:val="auto"/>
          <w:sz w:val="32"/>
          <w:szCs w:val="32"/>
          <w:u w:color="000000"/>
        </w:rPr>
        <w:t>1.</w:t>
      </w:r>
      <w:r>
        <w:rPr>
          <w:rFonts w:hint="eastAsia" w:eastAsia="仿宋_GB2312"/>
          <w:color w:val="auto"/>
          <w:sz w:val="32"/>
          <w:szCs w:val="32"/>
          <w:u w:color="000000"/>
        </w:rPr>
        <w:t>在国家、省、市、区</w:t>
      </w:r>
      <w:r>
        <w:rPr>
          <w:rFonts w:hint="eastAsia" w:eastAsia="仿宋_GB2312"/>
          <w:sz w:val="32"/>
          <w:szCs w:val="32"/>
          <w:u w:color="000000"/>
        </w:rPr>
        <w:t>督导评估</w:t>
      </w:r>
      <w:r>
        <w:rPr>
          <w:rFonts w:hint="eastAsia" w:eastAsia="仿宋_GB2312"/>
          <w:color w:val="auto"/>
          <w:sz w:val="32"/>
          <w:szCs w:val="32"/>
          <w:u w:color="000000"/>
        </w:rPr>
        <w:t>工作中被通报的学校，属于学校行为的，视其情节扣</w:t>
      </w:r>
      <w:r>
        <w:rPr>
          <w:rFonts w:eastAsia="仿宋_GB2312"/>
          <w:color w:val="auto"/>
          <w:sz w:val="32"/>
          <w:szCs w:val="32"/>
          <w:u w:color="000000"/>
        </w:rPr>
        <w:t>1——5</w:t>
      </w:r>
      <w:r>
        <w:rPr>
          <w:rFonts w:hint="eastAsia" w:eastAsia="仿宋_GB2312"/>
          <w:color w:val="auto"/>
          <w:sz w:val="32"/>
          <w:szCs w:val="32"/>
          <w:u w:color="000000"/>
        </w:rPr>
        <w:t>分；</w:t>
      </w:r>
    </w:p>
    <w:p>
      <w:pPr>
        <w:spacing w:line="600" w:lineRule="exact"/>
        <w:ind w:firstLine="640" w:firstLineChars="200"/>
        <w:jc w:val="left"/>
        <w:rPr>
          <w:rFonts w:eastAsia="仿宋_GB2312"/>
          <w:color w:val="auto"/>
          <w:sz w:val="32"/>
          <w:szCs w:val="32"/>
          <w:u w:color="000000"/>
        </w:rPr>
      </w:pPr>
      <w:r>
        <w:rPr>
          <w:rFonts w:eastAsia="仿宋_GB2312"/>
          <w:color w:val="auto"/>
          <w:sz w:val="32"/>
          <w:szCs w:val="32"/>
          <w:u w:color="000000"/>
        </w:rPr>
        <w:t>2.</w:t>
      </w:r>
      <w:r>
        <w:rPr>
          <w:rFonts w:hint="eastAsia" w:eastAsia="仿宋_GB2312"/>
          <w:color w:val="auto"/>
          <w:sz w:val="32"/>
          <w:szCs w:val="32"/>
          <w:u w:color="000000"/>
        </w:rPr>
        <w:t>中心级学校所辖村级学校有乱办班、乱补课、乱收费等违反教师职业道德行为的以及出现信访、安全等责任事故的，视其情节给予中心级学校扣</w:t>
      </w:r>
      <w:r>
        <w:rPr>
          <w:rFonts w:eastAsia="仿宋_GB2312"/>
          <w:color w:val="auto"/>
          <w:sz w:val="32"/>
          <w:szCs w:val="32"/>
          <w:u w:color="000000"/>
        </w:rPr>
        <w:t>1——5</w:t>
      </w:r>
      <w:r>
        <w:rPr>
          <w:rFonts w:hint="eastAsia" w:eastAsia="仿宋_GB2312"/>
          <w:color w:val="auto"/>
          <w:sz w:val="32"/>
          <w:szCs w:val="32"/>
          <w:u w:color="000000"/>
        </w:rPr>
        <w:t>分。</w:t>
      </w:r>
    </w:p>
    <w:p>
      <w:pPr>
        <w:spacing w:line="600" w:lineRule="exact"/>
        <w:ind w:firstLine="640" w:firstLineChars="200"/>
        <w:jc w:val="left"/>
        <w:rPr>
          <w:rFonts w:eastAsia="仿宋_GB2312"/>
          <w:color w:val="auto"/>
          <w:sz w:val="32"/>
          <w:szCs w:val="32"/>
          <w:u w:color="000000"/>
        </w:rPr>
      </w:pPr>
      <w:r>
        <w:rPr>
          <w:rFonts w:eastAsia="仿宋_GB2312"/>
          <w:color w:val="auto"/>
          <w:sz w:val="32"/>
          <w:szCs w:val="32"/>
          <w:u w:color="000000"/>
        </w:rPr>
        <w:t>3.</w:t>
      </w:r>
      <w:r>
        <w:rPr>
          <w:rFonts w:hint="eastAsia" w:eastAsia="仿宋_GB2312"/>
          <w:color w:val="auto"/>
          <w:sz w:val="32"/>
          <w:szCs w:val="32"/>
          <w:u w:color="000000"/>
        </w:rPr>
        <w:t>违背学籍管理规定私招乱收学生，不入籍的，视其情节扣</w:t>
      </w:r>
      <w:r>
        <w:rPr>
          <w:rFonts w:eastAsia="仿宋_GB2312"/>
          <w:color w:val="auto"/>
          <w:sz w:val="32"/>
          <w:szCs w:val="32"/>
          <w:u w:color="000000"/>
        </w:rPr>
        <w:t>1——5</w:t>
      </w:r>
      <w:r>
        <w:rPr>
          <w:rFonts w:hint="eastAsia" w:eastAsia="仿宋_GB2312"/>
          <w:color w:val="auto"/>
          <w:sz w:val="32"/>
          <w:szCs w:val="32"/>
          <w:u w:color="000000"/>
        </w:rPr>
        <w:t>分；</w:t>
      </w:r>
    </w:p>
    <w:p>
      <w:pPr>
        <w:spacing w:line="600" w:lineRule="exact"/>
        <w:ind w:firstLine="640" w:firstLineChars="200"/>
        <w:jc w:val="left"/>
        <w:rPr>
          <w:rFonts w:eastAsia="仿宋_GB2312"/>
          <w:color w:val="auto"/>
          <w:sz w:val="32"/>
          <w:szCs w:val="32"/>
          <w:u w:color="000000"/>
        </w:rPr>
      </w:pPr>
      <w:r>
        <w:rPr>
          <w:rFonts w:eastAsia="仿宋_GB2312"/>
          <w:color w:val="auto"/>
          <w:sz w:val="32"/>
          <w:szCs w:val="32"/>
          <w:u w:color="000000"/>
        </w:rPr>
        <w:t>4.</w:t>
      </w:r>
      <w:r>
        <w:rPr>
          <w:rFonts w:hint="eastAsia" w:eastAsia="仿宋_GB2312"/>
          <w:color w:val="auto"/>
          <w:sz w:val="32"/>
          <w:szCs w:val="32"/>
          <w:u w:color="000000"/>
        </w:rPr>
        <w:t>在教育教学工作（含各类考试）中，出现严重舞弊行为、弄虚作假的，视其情节扣</w:t>
      </w:r>
      <w:r>
        <w:rPr>
          <w:rFonts w:eastAsia="仿宋_GB2312"/>
          <w:color w:val="auto"/>
          <w:sz w:val="32"/>
          <w:szCs w:val="32"/>
          <w:u w:color="000000"/>
        </w:rPr>
        <w:t>1——5</w:t>
      </w:r>
      <w:r>
        <w:rPr>
          <w:rFonts w:hint="eastAsia" w:eastAsia="仿宋_GB2312"/>
          <w:color w:val="auto"/>
          <w:sz w:val="32"/>
          <w:szCs w:val="32"/>
          <w:u w:color="000000"/>
        </w:rPr>
        <w:t>分；</w:t>
      </w:r>
    </w:p>
    <w:p>
      <w:pPr>
        <w:spacing w:line="600" w:lineRule="exact"/>
        <w:ind w:firstLine="640" w:firstLineChars="200"/>
        <w:jc w:val="left"/>
        <w:rPr>
          <w:rFonts w:eastAsia="仿宋_GB2312"/>
          <w:color w:val="auto"/>
          <w:sz w:val="32"/>
          <w:szCs w:val="32"/>
          <w:u w:color="000000"/>
        </w:rPr>
      </w:pPr>
      <w:r>
        <w:rPr>
          <w:rFonts w:eastAsia="仿宋_GB2312"/>
          <w:color w:val="auto"/>
          <w:sz w:val="32"/>
          <w:szCs w:val="32"/>
          <w:u w:color="000000"/>
        </w:rPr>
        <w:t>5.</w:t>
      </w:r>
      <w:r>
        <w:rPr>
          <w:rFonts w:hint="eastAsia" w:eastAsia="仿宋_GB2312"/>
          <w:color w:val="auto"/>
          <w:sz w:val="32"/>
          <w:szCs w:val="32"/>
          <w:u w:color="000000"/>
        </w:rPr>
        <w:t>控辍保学工作不得力，辍学率严重超标的，视其程度扣</w:t>
      </w:r>
      <w:r>
        <w:rPr>
          <w:rFonts w:eastAsia="仿宋_GB2312"/>
          <w:color w:val="auto"/>
          <w:sz w:val="32"/>
          <w:szCs w:val="32"/>
          <w:u w:color="000000"/>
        </w:rPr>
        <w:t>1——5</w:t>
      </w:r>
      <w:r>
        <w:rPr>
          <w:rFonts w:hint="eastAsia" w:eastAsia="仿宋_GB2312"/>
          <w:color w:val="auto"/>
          <w:sz w:val="32"/>
          <w:szCs w:val="32"/>
          <w:u w:color="000000"/>
        </w:rPr>
        <w:t>分；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  <w:u w:color="000000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color="000000"/>
        </w:rPr>
        <w:t>三、</w:t>
      </w:r>
      <w:r>
        <w:rPr>
          <w:rFonts w:hint="eastAsia" w:ascii="黑体" w:hAnsi="黑体" w:eastAsia="黑体" w:cs="黑体"/>
          <w:sz w:val="32"/>
          <w:szCs w:val="32"/>
          <w:u w:color="000000"/>
        </w:rPr>
        <w:t>否决项目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u w:color="000000"/>
        </w:rPr>
      </w:pPr>
      <w:r>
        <w:rPr>
          <w:rFonts w:hint="eastAsia" w:ascii="仿宋_GB2312" w:hAnsi="仿宋_GB2312" w:eastAsia="仿宋_GB2312" w:cs="仿宋_GB2312"/>
          <w:sz w:val="32"/>
          <w:szCs w:val="32"/>
          <w:u w:color="000000"/>
        </w:rPr>
        <w:t>年度有下列情况之一者，学校工作完成情况视为不合格：学校发生重大安全责任事故；因工作过失发生群体性上访等影响社会稳定的重大事件；教育乱收费问题严重且整改不力，并造成很大社会影响；严重师德师风违纪行为造成社会影响的。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黑体"/>
          <w:color w:val="auto"/>
          <w:sz w:val="32"/>
          <w:szCs w:val="32"/>
          <w:u w:color="000000"/>
        </w:rPr>
      </w:pPr>
    </w:p>
    <w:p>
      <w:pPr>
        <w:rPr>
          <w:u w:color="000000"/>
        </w:rPr>
      </w:pPr>
    </w:p>
    <w:p>
      <w:pPr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Rectangle 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0pt;margin-top:0pt;height:50pt;width:50pt;visibility:hidden;z-index:251659264;mso-width-relative:page;mso-height-relative:page;" fillcolor="#FFFFFF" filled="t" stroked="t" coordsize="21600,21600" o:gfxdata="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KW6XrNIAAAAFAQAADwAAAAAAAAABACAAAAAiAAAAZHJzL2Rvd25yZXYueG1sUEsB&#10;AhQAFAAAAAgAh07iQF5jZaE0AgAAnAQAAA4AAAAAAAAAAQAgAAAAIQEAAGRycy9lMm9Eb2MueG1s&#10;UEsFBgAAAAAGAAYAWQEAAMcFAAAAAA==&#10;">
                <v:fill on="t" focussize="0,0"/>
                <v:stroke color="#000000" miterlimit="8" joinstyle="miter"/>
                <v:imagedata o:title=""/>
                <o:lock v:ext="edit" selection="t" aspectratio="t"/>
              </v:rect>
            </w:pict>
          </mc:Fallback>
        </mc:AlternateContent>
      </w:r>
    </w:p>
    <w:p/>
    <w:sectPr>
      <w:footerReference r:id="rId5" w:type="default"/>
      <w:pgSz w:w="11906" w:h="16838"/>
      <w:pgMar w:top="2098" w:right="1588" w:bottom="1418" w:left="158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MjliYmIyMGI2MDExNWQwMGY0ZGI3MzAxNzRhMmIifQ=="/>
  </w:docVars>
  <w:rsids>
    <w:rsidRoot w:val="444059B9"/>
    <w:rsid w:val="4440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2024-01-23T06:45:00Z</dcterms:created>
  <dc:creator>大芒果</dc:creator>
  <cp:lastModifiedBy>大芒果</cp:lastModifiedBy>
  <dcterms:modified xsi:type="dcterms:W3CDTF">2024-01-23T06:46:17Z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1AE6919E17E64721BCD3399E728F0F96_11</vt:lpwstr>
  </property>
</Properties>
</file>