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28"/>
          <w:szCs w:val="28"/>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长春双阳经济开发区双创孵化产业园区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项目绩效评价报告</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项目单位：长春聚丰投资开发有限责任公司</w:t>
      </w:r>
    </w:p>
    <w:p>
      <w:pPr>
        <w:jc w:val="left"/>
        <w:rPr>
          <w:rFonts w:ascii="方正小标宋简体" w:hAnsi="方正小标宋简体" w:eastAsia="方正小标宋简体" w:cs="方正小标宋简体"/>
          <w:sz w:val="36"/>
          <w:szCs w:val="36"/>
        </w:rPr>
      </w:pPr>
    </w:p>
    <w:p>
      <w:pPr>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主管部门：长春双阳经济开发区管理委员会</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2"/>
          <w:szCs w:val="32"/>
        </w:rPr>
        <w:sectPr>
          <w:pgSz w:w="11906" w:h="16838"/>
          <w:pgMar w:top="1440" w:right="1800" w:bottom="1440" w:left="1800" w:header="851" w:footer="992" w:gutter="0"/>
          <w:cols w:space="425" w:num="1"/>
          <w:docGrid w:type="lines" w:linePitch="312" w:charSpace="0"/>
        </w:sectPr>
      </w:pPr>
    </w:p>
    <w:p>
      <w:pPr>
        <w:pStyle w:val="2"/>
        <w:ind w:firstLine="640"/>
        <w:rPr>
          <w:b w:val="0"/>
        </w:rPr>
      </w:pPr>
      <w:r>
        <w:rPr>
          <w:rFonts w:hint="eastAsia"/>
          <w:b w:val="0"/>
        </w:rPr>
        <w:t>一、基本情况</w:t>
      </w:r>
    </w:p>
    <w:p>
      <w:pPr>
        <w:pStyle w:val="3"/>
        <w:ind w:firstLine="640"/>
      </w:pPr>
      <w:r>
        <w:rPr>
          <w:rFonts w:hint="eastAsia" w:ascii="仿宋_GB2312" w:hAnsi="仿宋_GB2312" w:eastAsia="仿宋_GB2312" w:cs="仿宋_GB2312"/>
          <w:b w:val="0"/>
          <w:bCs w:val="0"/>
        </w:rPr>
        <w:t>（一）项目概况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1、项目背景</w:t>
      </w:r>
    </w:p>
    <w:p>
      <w:pPr>
        <w:ind w:firstLine="640" w:firstLineChars="200"/>
        <w:rPr>
          <w:rFonts w:ascii="宋体" w:hAnsi="宋体" w:eastAsia="仿宋_GB2312"/>
          <w:sz w:val="32"/>
          <w:szCs w:val="32"/>
        </w:rPr>
      </w:pPr>
      <w:r>
        <w:rPr>
          <w:rFonts w:hint="eastAsia" w:ascii="宋体" w:hAnsi="宋体" w:eastAsia="仿宋_GB2312"/>
          <w:sz w:val="32"/>
          <w:szCs w:val="32"/>
        </w:rPr>
        <w:t>全面贯彻党的十九大精神，按照大众创业、万众创新的新要求和省委、省政府部署，坚持“政府引导，市场主导，需求向导”原则，全面落实扶持农民工、大学生和退役士兵等人员返乡创业政策，重点实施 7 个“行动计划（2015-2017 年）”，大力支持返乡创业，拓宽就地就近转移就业途径，培育经济社会发展新动力，催生民生改善、经济结构调整和社会和谐稳定新动能。</w:t>
      </w:r>
      <w:r>
        <w:rPr>
          <w:rFonts w:ascii="宋体" w:hAnsi="宋体" w:eastAsia="仿宋_GB2312"/>
          <w:sz w:val="32"/>
          <w:szCs w:val="32"/>
        </w:rPr>
        <w:t xml:space="preserve"> </w:t>
      </w:r>
    </w:p>
    <w:p>
      <w:pPr>
        <w:ind w:firstLine="640"/>
        <w:rPr>
          <w:rFonts w:ascii="宋体" w:hAnsi="宋体" w:eastAsia="仿宋_GB2312"/>
          <w:sz w:val="32"/>
          <w:szCs w:val="32"/>
        </w:rPr>
      </w:pPr>
      <w:r>
        <w:rPr>
          <w:rFonts w:hint="eastAsia" w:ascii="宋体" w:hAnsi="宋体" w:eastAsia="仿宋_GB2312"/>
          <w:sz w:val="32"/>
          <w:szCs w:val="32"/>
        </w:rPr>
        <w:t>在我国经济增速换挡和动能转换的背景下，推动大众创业、万众创新将成为经济增长新引擎。国务院办公厅印发《关于支持农民工等人员返乡创业的意见》，推动农民工等人员返乡创业。为加快返乡人员创业步伐，吉林省人民政府办公厅出台了《关于支持农民工等人员返乡创业的实施意见》（吉政办发〔2015〕88 号）；长春市人民政府办公室出台了《关于支持农民工等人员返乡创业的实施意见》（长政办发〔2015〕144 号）等创新机制政策。</w:t>
      </w:r>
    </w:p>
    <w:p>
      <w:pPr>
        <w:ind w:firstLine="640"/>
        <w:rPr>
          <w:rFonts w:ascii="仿宋_GB2312" w:hAnsi="仿宋_GB2312" w:eastAsia="仿宋_GB2312" w:cs="仿宋_GB2312"/>
          <w:sz w:val="32"/>
          <w:szCs w:val="32"/>
        </w:rPr>
      </w:pPr>
      <w:r>
        <w:rPr>
          <w:rFonts w:hint="eastAsia" w:ascii="宋体" w:hAnsi="宋体" w:eastAsia="仿宋_GB2312"/>
          <w:sz w:val="32"/>
          <w:szCs w:val="32"/>
        </w:rPr>
        <w:t>本项目建成后，为入驻园区的企业搭建功能完善的创业平台，建立良好的创业环境和秩序，加快优势产业集聚和中小企业发展，推进区域经济又好又快发展。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2、项目主要内容及实施情况</w:t>
      </w:r>
    </w:p>
    <w:p>
      <w:pPr>
        <w:ind w:firstLine="640"/>
        <w:rPr>
          <w:rFonts w:ascii="仿宋_GB2312" w:hAnsi="宋体" w:eastAsia="仿宋_GB2312"/>
          <w:color w:val="000000"/>
          <w:sz w:val="32"/>
          <w:szCs w:val="32"/>
        </w:rPr>
      </w:pPr>
      <w:r>
        <w:rPr>
          <w:rFonts w:hint="eastAsia" w:ascii="仿宋_GB2312" w:hAnsi="宋体" w:eastAsia="仿宋_GB2312"/>
          <w:color w:val="000000"/>
          <w:sz w:val="32"/>
          <w:szCs w:val="32"/>
        </w:rPr>
        <w:t>规划用地面积87</w:t>
      </w:r>
      <w:r>
        <w:rPr>
          <w:rFonts w:ascii="仿宋_GB2312" w:hAnsi="宋体" w:eastAsia="仿宋_GB2312"/>
          <w:color w:val="000000"/>
          <w:sz w:val="32"/>
          <w:szCs w:val="32"/>
        </w:rPr>
        <w:t>,</w:t>
      </w:r>
      <w:r>
        <w:rPr>
          <w:rFonts w:hint="eastAsia" w:ascii="仿宋_GB2312" w:hAnsi="宋体" w:eastAsia="仿宋_GB2312"/>
          <w:color w:val="000000"/>
          <w:sz w:val="32"/>
          <w:szCs w:val="32"/>
        </w:rPr>
        <w:t>158.58m</w:t>
      </w:r>
      <w:r>
        <w:rPr>
          <w:rFonts w:ascii="Calibri" w:hAnsi="Calibri" w:eastAsia="仿宋_GB2312" w:cs="Calibri"/>
          <w:color w:val="000000"/>
          <w:sz w:val="32"/>
          <w:szCs w:val="32"/>
        </w:rPr>
        <w:t>²</w:t>
      </w:r>
      <w:r>
        <w:rPr>
          <w:rFonts w:hint="eastAsia" w:ascii="仿宋_GB2312" w:hAnsi="宋体" w:eastAsia="仿宋_GB2312"/>
          <w:color w:val="000000"/>
          <w:sz w:val="32"/>
          <w:szCs w:val="32"/>
        </w:rPr>
        <w:t>，规划总建筑面积62</w:t>
      </w:r>
      <w:r>
        <w:rPr>
          <w:rFonts w:ascii="仿宋_GB2312" w:hAnsi="宋体" w:eastAsia="仿宋_GB2312"/>
          <w:color w:val="000000"/>
          <w:sz w:val="32"/>
          <w:szCs w:val="32"/>
        </w:rPr>
        <w:t>,</w:t>
      </w:r>
      <w:r>
        <w:rPr>
          <w:rFonts w:hint="eastAsia" w:ascii="仿宋_GB2312" w:hAnsi="宋体" w:eastAsia="仿宋_GB2312"/>
          <w:color w:val="000000"/>
          <w:sz w:val="32"/>
          <w:szCs w:val="32"/>
        </w:rPr>
        <w:t>065</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（计容面积98</w:t>
      </w:r>
      <w:r>
        <w:rPr>
          <w:rFonts w:ascii="仿宋_GB2312" w:hAnsi="宋体" w:eastAsia="仿宋_GB2312"/>
          <w:color w:val="000000"/>
          <w:sz w:val="32"/>
          <w:szCs w:val="32"/>
        </w:rPr>
        <w:t>,</w:t>
      </w:r>
      <w:r>
        <w:rPr>
          <w:rFonts w:hint="eastAsia" w:ascii="仿宋_GB2312" w:hAnsi="宋体" w:eastAsia="仿宋_GB2312"/>
          <w:color w:val="000000"/>
          <w:sz w:val="32"/>
          <w:szCs w:val="32"/>
        </w:rPr>
        <w:t>065</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w:t>
      </w:r>
      <w:r>
        <w:rPr>
          <w:rFonts w:ascii="仿宋_GB2312" w:hAnsi="宋体" w:eastAsia="仿宋_GB2312"/>
          <w:color w:val="000000"/>
          <w:sz w:val="32"/>
          <w:szCs w:val="32"/>
        </w:rPr>
        <w:t>其中</w:t>
      </w:r>
      <w:r>
        <w:rPr>
          <w:rFonts w:hint="eastAsia" w:ascii="仿宋_GB2312" w:hAnsi="宋体" w:eastAsia="仿宋_GB2312"/>
          <w:color w:val="000000"/>
          <w:sz w:val="32"/>
          <w:szCs w:val="32"/>
        </w:rPr>
        <w:t>地上建筑面积59</w:t>
      </w:r>
      <w:r>
        <w:rPr>
          <w:rFonts w:ascii="仿宋_GB2312" w:hAnsi="宋体" w:eastAsia="仿宋_GB2312"/>
          <w:color w:val="000000"/>
          <w:sz w:val="32"/>
          <w:szCs w:val="32"/>
        </w:rPr>
        <w:t>,</w:t>
      </w:r>
      <w:r>
        <w:rPr>
          <w:rFonts w:hint="eastAsia" w:ascii="仿宋_GB2312" w:hAnsi="宋体" w:eastAsia="仿宋_GB2312"/>
          <w:color w:val="000000"/>
          <w:sz w:val="32"/>
          <w:szCs w:val="32"/>
        </w:rPr>
        <w:t>975.00m</w:t>
      </w:r>
      <w:r>
        <w:rPr>
          <w:rFonts w:ascii="Calibri" w:hAnsi="Calibri" w:eastAsia="仿宋_GB2312" w:cs="Calibri"/>
          <w:color w:val="000000"/>
          <w:sz w:val="32"/>
          <w:szCs w:val="32"/>
        </w:rPr>
        <w:t>²</w:t>
      </w:r>
      <w:r>
        <w:rPr>
          <w:rFonts w:hint="eastAsia" w:ascii="仿宋_GB2312" w:hAnsi="宋体" w:eastAsia="仿宋_GB2312"/>
          <w:color w:val="000000"/>
          <w:sz w:val="32"/>
          <w:szCs w:val="32"/>
        </w:rPr>
        <w:t>，地下建筑面积2</w:t>
      </w:r>
      <w:r>
        <w:rPr>
          <w:rFonts w:ascii="仿宋_GB2312" w:hAnsi="宋体" w:eastAsia="仿宋_GB2312"/>
          <w:color w:val="000000"/>
          <w:sz w:val="32"/>
          <w:szCs w:val="32"/>
        </w:rPr>
        <w:t>,</w:t>
      </w:r>
      <w:r>
        <w:rPr>
          <w:rFonts w:hint="eastAsia" w:ascii="仿宋_GB2312" w:hAnsi="宋体" w:eastAsia="仿宋_GB2312"/>
          <w:color w:val="000000"/>
          <w:sz w:val="32"/>
          <w:szCs w:val="32"/>
        </w:rPr>
        <w:t>090</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。双创孵化产业园规划建设16栋建筑，其中研发服务中心3栋，框架结构，总建筑面积12</w:t>
      </w:r>
      <w:r>
        <w:rPr>
          <w:rFonts w:ascii="仿宋_GB2312" w:hAnsi="宋体" w:eastAsia="仿宋_GB2312"/>
          <w:color w:val="000000"/>
          <w:sz w:val="32"/>
          <w:szCs w:val="32"/>
        </w:rPr>
        <w:t>,</w:t>
      </w:r>
      <w:r>
        <w:rPr>
          <w:rFonts w:hint="eastAsia" w:ascii="仿宋_GB2312" w:hAnsi="宋体" w:eastAsia="仿宋_GB2312"/>
          <w:color w:val="000000"/>
          <w:sz w:val="32"/>
          <w:szCs w:val="32"/>
        </w:rPr>
        <w:t>705.00m</w:t>
      </w:r>
      <w:r>
        <w:rPr>
          <w:rFonts w:ascii="Calibri" w:hAnsi="Calibri" w:eastAsia="仿宋_GB2312" w:cs="Calibri"/>
          <w:color w:val="000000"/>
          <w:sz w:val="32"/>
          <w:szCs w:val="32"/>
        </w:rPr>
        <w:t>²</w:t>
      </w:r>
      <w:r>
        <w:rPr>
          <w:rFonts w:hint="eastAsia" w:ascii="仿宋_GB2312" w:hAnsi="宋体" w:eastAsia="仿宋_GB2312"/>
          <w:color w:val="000000"/>
          <w:sz w:val="32"/>
          <w:szCs w:val="32"/>
        </w:rPr>
        <w:t>（其中地上建筑面积11</w:t>
      </w:r>
      <w:r>
        <w:rPr>
          <w:rFonts w:ascii="仿宋_GB2312" w:hAnsi="宋体" w:eastAsia="仿宋_GB2312"/>
          <w:color w:val="000000"/>
          <w:sz w:val="32"/>
          <w:szCs w:val="32"/>
        </w:rPr>
        <w:t>,</w:t>
      </w:r>
      <w:r>
        <w:rPr>
          <w:rFonts w:hint="eastAsia" w:ascii="仿宋_GB2312" w:hAnsi="宋体" w:eastAsia="仿宋_GB2312"/>
          <w:color w:val="000000"/>
          <w:sz w:val="32"/>
          <w:szCs w:val="32"/>
        </w:rPr>
        <w:t>240</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，地下建筑面积1</w:t>
      </w:r>
      <w:r>
        <w:rPr>
          <w:rFonts w:ascii="仿宋_GB2312" w:hAnsi="宋体" w:eastAsia="仿宋_GB2312"/>
          <w:color w:val="000000"/>
          <w:sz w:val="32"/>
          <w:szCs w:val="32"/>
        </w:rPr>
        <w:t>,</w:t>
      </w:r>
      <w:r>
        <w:rPr>
          <w:rFonts w:hint="eastAsia" w:ascii="仿宋_GB2312" w:hAnsi="宋体" w:eastAsia="仿宋_GB2312"/>
          <w:color w:val="000000"/>
          <w:sz w:val="32"/>
          <w:szCs w:val="32"/>
        </w:rPr>
        <w:t>465</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）；厂房8栋，层高6米～12米，门式钢架结构，总建筑面积49</w:t>
      </w:r>
      <w:r>
        <w:rPr>
          <w:rFonts w:ascii="仿宋_GB2312" w:hAnsi="宋体" w:eastAsia="仿宋_GB2312"/>
          <w:color w:val="000000"/>
          <w:sz w:val="32"/>
          <w:szCs w:val="32"/>
        </w:rPr>
        <w:t>,</w:t>
      </w:r>
      <w:r>
        <w:rPr>
          <w:rFonts w:hint="eastAsia" w:ascii="仿宋_GB2312" w:hAnsi="宋体" w:eastAsia="仿宋_GB2312"/>
          <w:color w:val="000000"/>
          <w:sz w:val="32"/>
          <w:szCs w:val="32"/>
        </w:rPr>
        <w:t>050</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（其中地上建筑面积48</w:t>
      </w:r>
      <w:r>
        <w:rPr>
          <w:rFonts w:ascii="仿宋_GB2312" w:hAnsi="宋体" w:eastAsia="仿宋_GB2312"/>
          <w:color w:val="000000"/>
          <w:sz w:val="32"/>
          <w:szCs w:val="32"/>
        </w:rPr>
        <w:t>,</w:t>
      </w:r>
      <w:r>
        <w:rPr>
          <w:rFonts w:hint="eastAsia" w:ascii="仿宋_GB2312" w:hAnsi="宋体" w:eastAsia="仿宋_GB2312"/>
          <w:color w:val="000000"/>
          <w:sz w:val="32"/>
          <w:szCs w:val="32"/>
        </w:rPr>
        <w:t>450</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，地下建筑面积600</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），计容面积86</w:t>
      </w:r>
      <w:r>
        <w:rPr>
          <w:rFonts w:ascii="仿宋_GB2312" w:hAnsi="宋体" w:eastAsia="仿宋_GB2312"/>
          <w:color w:val="000000"/>
          <w:sz w:val="32"/>
          <w:szCs w:val="32"/>
        </w:rPr>
        <w:t>,</w:t>
      </w:r>
      <w:r>
        <w:rPr>
          <w:rFonts w:hint="eastAsia" w:ascii="仿宋_GB2312" w:hAnsi="宋体" w:eastAsia="仿宋_GB2312"/>
          <w:color w:val="000000"/>
          <w:sz w:val="32"/>
          <w:szCs w:val="32"/>
        </w:rPr>
        <w:t>540</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；泵房1栋，地上一层、地下一层，框架结构，建筑面积274</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（其中地上建筑面积24</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，地下建筑面积250</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）；门卫4栋，砌体结构，总建筑面积36</w:t>
      </w:r>
      <w:r>
        <w:rPr>
          <w:rFonts w:ascii="仿宋_GB2312" w:hAnsi="宋体" w:eastAsia="仿宋_GB2312"/>
          <w:color w:val="000000"/>
          <w:sz w:val="32"/>
          <w:szCs w:val="32"/>
        </w:rPr>
        <w:t>.00</w:t>
      </w:r>
      <w:r>
        <w:rPr>
          <w:rFonts w:hint="eastAsia" w:ascii="仿宋_GB2312" w:hAnsi="宋体" w:eastAsia="仿宋_GB2312"/>
          <w:color w:val="000000"/>
          <w:sz w:val="32"/>
          <w:szCs w:val="32"/>
        </w:rPr>
        <w:t>m</w:t>
      </w:r>
      <w:r>
        <w:rPr>
          <w:rFonts w:ascii="Calibri" w:hAnsi="Calibri" w:eastAsia="仿宋_GB2312" w:cs="Calibri"/>
          <w:color w:val="000000"/>
          <w:sz w:val="32"/>
          <w:szCs w:val="32"/>
        </w:rPr>
        <w:t>²</w:t>
      </w:r>
      <w:r>
        <w:rPr>
          <w:rFonts w:hint="eastAsia" w:ascii="仿宋_GB2312" w:hAnsi="宋体" w:eastAsia="仿宋_GB2312"/>
          <w:color w:val="000000"/>
          <w:sz w:val="32"/>
          <w:szCs w:val="32"/>
        </w:rPr>
        <w:t>。配套建设供配电、给排水、供热、消防、弱电设施等及道路、绿化。</w:t>
      </w:r>
    </w:p>
    <w:p>
      <w:pPr>
        <w:ind w:firstLine="640"/>
        <w:rPr>
          <w:rFonts w:ascii="仿宋_GB2312" w:hAnsi="宋体" w:eastAsia="仿宋_GB2312"/>
          <w:color w:val="000000"/>
          <w:sz w:val="32"/>
          <w:szCs w:val="32"/>
        </w:rPr>
      </w:pPr>
      <w:r>
        <w:rPr>
          <w:rFonts w:hint="eastAsia" w:ascii="仿宋_GB2312" w:hAnsi="宋体" w:eastAsia="仿宋_GB2312"/>
          <w:color w:val="000000"/>
          <w:sz w:val="32"/>
          <w:szCs w:val="32"/>
        </w:rPr>
        <w:t>项目目前处于在建状态，2021年一期工程已完工，二期工程主体已完工，三期工程进行场地平整。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3、资金投入和使用情况</w:t>
      </w:r>
    </w:p>
    <w:p>
      <w:pPr>
        <w:ind w:firstLine="640"/>
        <w:rPr>
          <w:rFonts w:ascii="仿宋_GB2312" w:hAnsi="宋体" w:eastAsia="仿宋_GB2312"/>
          <w:color w:val="000000"/>
          <w:sz w:val="32"/>
          <w:szCs w:val="32"/>
        </w:rPr>
      </w:pPr>
      <w:r>
        <w:rPr>
          <w:rFonts w:hint="eastAsia" w:ascii="仿宋_GB2312" w:hAnsi="宋体" w:eastAsia="仿宋_GB2312"/>
          <w:color w:val="000000"/>
          <w:sz w:val="32"/>
          <w:szCs w:val="32"/>
        </w:rPr>
        <w:t>2021年申请地方政府专项债券资金</w:t>
      </w:r>
      <w:r>
        <w:rPr>
          <w:rFonts w:ascii="仿宋_GB2312" w:hAnsi="宋体" w:eastAsia="仿宋_GB2312"/>
          <w:color w:val="000000"/>
          <w:sz w:val="32"/>
          <w:szCs w:val="32"/>
        </w:rPr>
        <w:t>6</w:t>
      </w:r>
      <w:r>
        <w:rPr>
          <w:rFonts w:hint="eastAsia" w:ascii="仿宋_GB2312" w:hAnsi="宋体" w:eastAsia="仿宋_GB2312"/>
          <w:color w:val="000000"/>
          <w:sz w:val="32"/>
          <w:szCs w:val="32"/>
        </w:rPr>
        <w:t>,000</w:t>
      </w:r>
      <w:r>
        <w:rPr>
          <w:rFonts w:ascii="仿宋_GB2312" w:hAnsi="宋体" w:eastAsia="仿宋_GB2312"/>
          <w:color w:val="000000"/>
          <w:sz w:val="32"/>
          <w:szCs w:val="32"/>
        </w:rPr>
        <w:t>.00</w:t>
      </w:r>
      <w:r>
        <w:rPr>
          <w:rFonts w:hint="eastAsia" w:ascii="仿宋_GB2312" w:hAnsi="宋体" w:eastAsia="仿宋_GB2312"/>
          <w:color w:val="000000"/>
          <w:sz w:val="32"/>
          <w:szCs w:val="32"/>
        </w:rPr>
        <w:t>万</w:t>
      </w:r>
      <w:r>
        <w:rPr>
          <w:rFonts w:ascii="仿宋_GB2312" w:hAnsi="宋体" w:eastAsia="仿宋_GB2312"/>
          <w:color w:val="000000"/>
          <w:sz w:val="32"/>
          <w:szCs w:val="32"/>
        </w:rPr>
        <w:t>元</w:t>
      </w:r>
      <w:r>
        <w:rPr>
          <w:rFonts w:hint="eastAsia" w:ascii="仿宋_GB2312" w:hAnsi="宋体" w:eastAsia="仿宋_GB2312"/>
          <w:color w:val="000000"/>
          <w:sz w:val="32"/>
          <w:szCs w:val="32"/>
        </w:rPr>
        <w:t>，根据长春市双阳区财政局文件《关于长春市双阳区2021年第一批专项债券项目资本金纳入财政预算调整计划的函》（长双财函[2021]681号），项目资本金纳入区级财政预算调整计划，2021年财政预算安排4</w:t>
      </w:r>
      <w:r>
        <w:rPr>
          <w:rFonts w:ascii="仿宋_GB2312" w:hAnsi="宋体" w:eastAsia="仿宋_GB2312"/>
          <w:color w:val="000000"/>
          <w:sz w:val="32"/>
          <w:szCs w:val="32"/>
        </w:rPr>
        <w:t>,</w:t>
      </w:r>
      <w:r>
        <w:rPr>
          <w:rFonts w:hint="eastAsia" w:ascii="仿宋_GB2312" w:hAnsi="宋体" w:eastAsia="仿宋_GB2312"/>
          <w:color w:val="000000"/>
          <w:sz w:val="32"/>
          <w:szCs w:val="32"/>
        </w:rPr>
        <w:t>175.63万元。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2021年专项债券资金未支付</w:t>
      </w:r>
      <w:r>
        <w:rPr>
          <w:rFonts w:hint="eastAsia" w:ascii="仿宋_GB2312" w:hAnsi="宋体" w:eastAsia="仿宋_GB2312"/>
          <w:color w:val="000000"/>
          <w:sz w:val="32"/>
          <w:szCs w:val="32"/>
        </w:rPr>
        <w:t>，资本金支付</w:t>
      </w: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632.96</w:t>
      </w:r>
      <w:r>
        <w:rPr>
          <w:rFonts w:hint="eastAsia" w:ascii="仿宋_GB2312" w:hAnsi="宋体" w:eastAsia="仿宋_GB2312"/>
          <w:color w:val="000000"/>
          <w:sz w:val="32"/>
          <w:szCs w:val="32"/>
        </w:rPr>
        <w:t>万元。</w:t>
      </w:r>
    </w:p>
    <w:p>
      <w:pPr>
        <w:pStyle w:val="3"/>
        <w:ind w:firstLine="518" w:firstLineChars="162"/>
        <w:rPr>
          <w:rFonts w:ascii="仿宋_GB2312" w:hAnsi="仿宋_GB2312" w:eastAsia="仿宋_GB2312" w:cs="仿宋_GB2312"/>
          <w:b w:val="0"/>
          <w:bCs w:val="0"/>
        </w:rPr>
      </w:pPr>
      <w:r>
        <w:rPr>
          <w:rFonts w:hint="eastAsia" w:ascii="仿宋_GB2312" w:hAnsi="仿宋_GB2312" w:eastAsia="仿宋_GB2312" w:cs="仿宋_GB2312"/>
          <w:b w:val="0"/>
          <w:bCs w:val="0"/>
        </w:rPr>
        <w:t>（二）项目绩效目标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项目按期竣工，产业园将会以创业创新资源整合及服务创新为发展战略，形成以市场为导向，集知识产权、技术转移、创业孵化、信息服务、教育培训、展览展示等功能一体的中小企业“双创”产业园。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2、阶段性目标。</w:t>
      </w:r>
    </w:p>
    <w:p>
      <w:pPr>
        <w:ind w:firstLine="640"/>
        <w:rPr>
          <w:rFonts w:ascii="仿宋_GB2312" w:hAnsi="仿宋_GB2312" w:eastAsia="仿宋_GB2312" w:cs="仿宋_GB2312"/>
          <w:sz w:val="32"/>
          <w:szCs w:val="32"/>
        </w:rPr>
      </w:pPr>
      <w:r>
        <w:rPr>
          <w:rFonts w:hint="eastAsia" w:ascii="仿宋" w:hAnsi="仿宋" w:eastAsia="仿宋" w:cs="仿宋"/>
          <w:sz w:val="32"/>
          <w:szCs w:val="32"/>
        </w:rPr>
        <w:t>2021年</w:t>
      </w:r>
      <w:r>
        <w:rPr>
          <w:rFonts w:hint="eastAsia" w:ascii="仿宋_GB2312" w:hAnsi="仿宋_GB2312" w:eastAsia="仿宋_GB2312" w:cs="仿宋_GB2312"/>
          <w:sz w:val="32"/>
          <w:szCs w:val="32"/>
        </w:rPr>
        <w:t>计划一期和二期工程完工，三期工程完成主体工程。</w:t>
      </w:r>
    </w:p>
    <w:p>
      <w:pPr>
        <w:pStyle w:val="2"/>
        <w:ind w:firstLine="640"/>
        <w:rPr>
          <w:rFonts w:ascii="仿宋_GB2312" w:hAnsi="仿宋_GB2312" w:eastAsia="仿宋_GB2312" w:cs="仿宋_GB2312"/>
          <w:b w:val="0"/>
          <w:szCs w:val="32"/>
        </w:rPr>
      </w:pPr>
      <w:r>
        <w:rPr>
          <w:rFonts w:hint="eastAsia"/>
          <w:b w:val="0"/>
        </w:rPr>
        <w:t>二、绩效评价工作开展情况</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（一）绩效评价目标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根据评价项目的情况和特点，运用科学、规范的绩效评价方法，客观、公正地对</w:t>
      </w:r>
      <w:r>
        <w:rPr>
          <w:rFonts w:hint="eastAsia" w:ascii="宋体" w:hAnsi="宋体" w:eastAsia="仿宋_GB2312"/>
          <w:sz w:val="32"/>
          <w:szCs w:val="32"/>
        </w:rPr>
        <w:t>长春聚丰投资开发有限责任公司长春市双阳经济开发区双创孵化产业园区项目新增地方政府债券资金进行综合评价，全面考察项目的</w:t>
      </w:r>
      <w:r>
        <w:rPr>
          <w:rFonts w:hint="eastAsia" w:ascii="仿宋_GB2312" w:hAnsi="仿宋_GB2312" w:eastAsia="仿宋_GB2312" w:cs="仿宋_GB2312"/>
          <w:sz w:val="32"/>
          <w:szCs w:val="32"/>
        </w:rPr>
        <w:t>预算、实施、管理、结果及影响。通过绩效评价，为加强地方政府专项债券项目资金绩效管理，提高专项债券资金使用效益，有效防范政府债务风险发挥作用。</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（二）评价对象和范围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本次绩效评价主要内容为对</w:t>
      </w:r>
      <w:r>
        <w:rPr>
          <w:rFonts w:hint="eastAsia" w:ascii="宋体" w:hAnsi="宋体" w:eastAsia="仿宋_GB2312"/>
          <w:sz w:val="32"/>
          <w:szCs w:val="32"/>
        </w:rPr>
        <w:t>长春聚丰投资开发有限责任公</w:t>
      </w:r>
      <w:r>
        <w:rPr>
          <w:rFonts w:hint="eastAsia" w:ascii="仿宋_GB2312" w:hAnsi="仿宋_GB2312" w:eastAsia="仿宋_GB2312" w:cs="仿宋_GB2312"/>
          <w:sz w:val="32"/>
          <w:szCs w:val="32"/>
        </w:rPr>
        <w:t>司</w:t>
      </w:r>
      <w:r>
        <w:rPr>
          <w:rFonts w:hint="eastAsia" w:ascii="宋体" w:hAnsi="宋体" w:eastAsia="仿宋_GB2312"/>
          <w:sz w:val="32"/>
          <w:szCs w:val="32"/>
        </w:rPr>
        <w:t>长春市双阳经济开发区双创孵化产业园区项目</w:t>
      </w:r>
      <w:r>
        <w:rPr>
          <w:rFonts w:hint="eastAsia" w:ascii="仿宋_GB2312" w:hAnsi="仿宋_GB2312" w:eastAsia="仿宋_GB2312" w:cs="仿宋_GB2312"/>
          <w:sz w:val="32"/>
          <w:szCs w:val="32"/>
        </w:rPr>
        <w:t>申请2021年地方政府专项债券资金的全年执行率、产出、效益和满意度进行综合评价。</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（三）绩效评价原则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采用定量分析与定性分析相结合的比较法，对</w:t>
      </w:r>
      <w:r>
        <w:rPr>
          <w:rFonts w:hint="eastAsia" w:ascii="宋体" w:hAnsi="宋体" w:eastAsia="仿宋_GB2312"/>
          <w:sz w:val="32"/>
          <w:szCs w:val="32"/>
        </w:rPr>
        <w:t>长春聚丰投资开发有限责任公</w:t>
      </w:r>
      <w:r>
        <w:rPr>
          <w:rFonts w:hint="eastAsia" w:ascii="仿宋_GB2312" w:hAnsi="仿宋_GB2312" w:eastAsia="仿宋_GB2312" w:cs="仿宋_GB2312"/>
          <w:sz w:val="32"/>
          <w:szCs w:val="32"/>
        </w:rPr>
        <w:t>司</w:t>
      </w:r>
      <w:r>
        <w:rPr>
          <w:rFonts w:hint="eastAsia" w:ascii="宋体" w:hAnsi="宋体" w:eastAsia="仿宋_GB2312"/>
          <w:sz w:val="32"/>
          <w:szCs w:val="32"/>
        </w:rPr>
        <w:t>长春市双阳经济开发区双创孵化产业园区项目</w:t>
      </w:r>
      <w:r>
        <w:rPr>
          <w:rFonts w:hint="eastAsia" w:ascii="仿宋_GB2312" w:hAnsi="仿宋_GB2312" w:eastAsia="仿宋_GB2312" w:cs="仿宋_GB2312"/>
          <w:sz w:val="32"/>
          <w:szCs w:val="32"/>
        </w:rPr>
        <w:t>新增地方政府债券资金绩效情况进行客观分析和评价。</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（四）评价方法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本次评价方法采用成本效益分析法、比较法、因素分析法、公众评判法。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1、成本效益分析法，将投入与产出、效益进行关联性进行分析。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2、比较法，将实施情况与绩效目标、历史情况进行比较。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3、因素分析法，综合分析影响绩效目标实现、实施效果的内外部因素的方法。</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、公众评判法，通过公众问卷及抽样调查等方式进行评判。</w:t>
      </w:r>
    </w:p>
    <w:p>
      <w:pPr>
        <w:pStyle w:val="2"/>
        <w:ind w:firstLine="640"/>
        <w:rPr>
          <w:b w:val="0"/>
        </w:rPr>
      </w:pPr>
      <w:r>
        <w:rPr>
          <w:rFonts w:hint="eastAsia"/>
          <w:b w:val="0"/>
        </w:rPr>
        <w:t>三、综合评价情况及评论结论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全年执行率和一级指标权重统一设置为：全年执行率10%、产出指标60%、效益指标20%、满意度指标10%。总分由全年执行率得分和各项指标得分汇总形成。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通过本次绩效评价工作，</w:t>
      </w:r>
      <w:r>
        <w:rPr>
          <w:rFonts w:hint="eastAsia" w:ascii="宋体" w:hAnsi="宋体" w:eastAsia="仿宋_GB2312"/>
          <w:sz w:val="32"/>
          <w:szCs w:val="32"/>
        </w:rPr>
        <w:t>长春聚丰投资开发有限责任公</w:t>
      </w:r>
      <w:r>
        <w:rPr>
          <w:rFonts w:hint="eastAsia" w:ascii="仿宋_GB2312" w:hAnsi="仿宋_GB2312" w:eastAsia="仿宋_GB2312" w:cs="仿宋_GB2312"/>
          <w:sz w:val="32"/>
          <w:szCs w:val="32"/>
        </w:rPr>
        <w:t>司</w:t>
      </w:r>
      <w:r>
        <w:rPr>
          <w:rFonts w:hint="eastAsia" w:ascii="宋体" w:hAnsi="宋体" w:eastAsia="仿宋_GB2312"/>
          <w:sz w:val="32"/>
          <w:szCs w:val="32"/>
        </w:rPr>
        <w:t>长春市双阳经济开发区双创孵化产业园区项目</w:t>
      </w:r>
      <w:r>
        <w:rPr>
          <w:rFonts w:hint="eastAsia" w:ascii="仿宋_GB2312" w:hAnsi="仿宋_GB2312" w:eastAsia="仿宋_GB2312" w:cs="仿宋_GB2312"/>
          <w:sz w:val="32"/>
          <w:szCs w:val="32"/>
        </w:rPr>
        <w:t>新增地方政府专项债券资金绩效评价最终得分</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分。</w:t>
      </w:r>
    </w:p>
    <w:p>
      <w:pPr>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绩效评价得分汇总表</w:t>
      </w:r>
    </w:p>
    <w:tbl>
      <w:tblPr>
        <w:tblStyle w:val="10"/>
        <w:tblW w:w="8354" w:type="dxa"/>
        <w:tblInd w:w="118" w:type="dxa"/>
        <w:tblLayout w:type="autofit"/>
        <w:tblCellMar>
          <w:top w:w="0" w:type="dxa"/>
          <w:left w:w="108" w:type="dxa"/>
          <w:bottom w:w="0" w:type="dxa"/>
          <w:right w:w="108" w:type="dxa"/>
        </w:tblCellMar>
      </w:tblPr>
      <w:tblGrid>
        <w:gridCol w:w="1392"/>
        <w:gridCol w:w="1392"/>
        <w:gridCol w:w="1393"/>
        <w:gridCol w:w="1392"/>
        <w:gridCol w:w="1392"/>
        <w:gridCol w:w="1393"/>
      </w:tblGrid>
      <w:tr>
        <w:tblPrEx>
          <w:tblCellMar>
            <w:top w:w="0" w:type="dxa"/>
            <w:left w:w="108" w:type="dxa"/>
            <w:bottom w:w="0" w:type="dxa"/>
            <w:right w:w="108" w:type="dxa"/>
          </w:tblCellMar>
        </w:tblPrEx>
        <w:trPr>
          <w:trHeight w:val="525" w:hRule="atLeast"/>
        </w:trPr>
        <w:tc>
          <w:tcPr>
            <w:tcW w:w="13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指标类别</w:t>
            </w:r>
          </w:p>
        </w:tc>
        <w:tc>
          <w:tcPr>
            <w:tcW w:w="13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全年执行率</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产出</w:t>
            </w:r>
          </w:p>
        </w:tc>
        <w:tc>
          <w:tcPr>
            <w:tcW w:w="13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效益</w:t>
            </w:r>
          </w:p>
        </w:tc>
        <w:tc>
          <w:tcPr>
            <w:tcW w:w="13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满意度</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合计</w:t>
            </w:r>
          </w:p>
        </w:tc>
      </w:tr>
      <w:tr>
        <w:tblPrEx>
          <w:tblCellMar>
            <w:top w:w="0" w:type="dxa"/>
            <w:left w:w="108" w:type="dxa"/>
            <w:bottom w:w="0" w:type="dxa"/>
            <w:right w:w="108" w:type="dxa"/>
          </w:tblCellMar>
        </w:tblPrEx>
        <w:trPr>
          <w:trHeight w:val="285" w:hRule="atLeast"/>
        </w:trPr>
        <w:tc>
          <w:tcPr>
            <w:tcW w:w="139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权重</w:t>
            </w:r>
          </w:p>
        </w:tc>
        <w:tc>
          <w:tcPr>
            <w:tcW w:w="1392" w:type="dxa"/>
            <w:tcBorders>
              <w:top w:val="nil"/>
              <w:left w:val="nil"/>
              <w:bottom w:val="single" w:color="000000" w:sz="8" w:space="0"/>
              <w:right w:val="single" w:color="000000" w:sz="8" w:space="0"/>
            </w:tcBorders>
            <w:shd w:val="clear" w:color="auto" w:fill="auto"/>
            <w:vAlign w:val="center"/>
          </w:tcPr>
          <w:p>
            <w:pPr>
              <w:widowControl/>
              <w:jc w:val="center"/>
              <w:rPr>
                <w:rFonts w:ascii="Arial Narrow" w:hAnsi="Arial Narrow" w:cs="Times New Roman"/>
                <w:color w:val="000000"/>
                <w:kern w:val="0"/>
                <w:szCs w:val="21"/>
              </w:rPr>
            </w:pPr>
            <w:r>
              <w:rPr>
                <w:rFonts w:ascii="Arial Narrow" w:hAnsi="Arial Narrow" w:cs="Times New Roman"/>
                <w:color w:val="000000"/>
                <w:szCs w:val="21"/>
              </w:rPr>
              <w:t>10.00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60.00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20.00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10.00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100.00</w:t>
            </w:r>
          </w:p>
        </w:tc>
      </w:tr>
      <w:tr>
        <w:tblPrEx>
          <w:tblCellMar>
            <w:top w:w="0" w:type="dxa"/>
            <w:left w:w="108" w:type="dxa"/>
            <w:bottom w:w="0" w:type="dxa"/>
            <w:right w:w="108" w:type="dxa"/>
          </w:tblCellMar>
        </w:tblPrEx>
        <w:trPr>
          <w:trHeight w:val="285" w:hRule="atLeast"/>
        </w:trPr>
        <w:tc>
          <w:tcPr>
            <w:tcW w:w="139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得分</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1.05</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33.60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16.00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10.00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60.65</w:t>
            </w:r>
          </w:p>
        </w:tc>
      </w:tr>
      <w:tr>
        <w:tblPrEx>
          <w:tblCellMar>
            <w:top w:w="0" w:type="dxa"/>
            <w:left w:w="108" w:type="dxa"/>
            <w:bottom w:w="0" w:type="dxa"/>
            <w:right w:w="108" w:type="dxa"/>
          </w:tblCellMar>
        </w:tblPrEx>
        <w:trPr>
          <w:trHeight w:val="285" w:hRule="atLeast"/>
        </w:trPr>
        <w:tc>
          <w:tcPr>
            <w:tcW w:w="139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得分率</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10.50%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56.00%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80.00%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100.00%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60.65%</w:t>
            </w:r>
          </w:p>
        </w:tc>
      </w:tr>
    </w:tbl>
    <w:p>
      <w:pPr>
        <w:pStyle w:val="2"/>
        <w:ind w:firstLine="640"/>
        <w:rPr>
          <w:b w:val="0"/>
        </w:rPr>
      </w:pPr>
      <w:r>
        <w:rPr>
          <w:rFonts w:hint="eastAsia"/>
          <w:b w:val="0"/>
        </w:rPr>
        <w:t>四、绩效评价指标分析</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（一）全年执行率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年计划投资规模</w:t>
      </w:r>
      <w:r>
        <w:rPr>
          <w:rFonts w:ascii="仿宋_GB2312" w:hAnsi="仿宋_GB2312" w:eastAsia="仿宋_GB2312" w:cs="仿宋_GB2312"/>
          <w:sz w:val="32"/>
          <w:szCs w:val="32"/>
        </w:rPr>
        <w:t>15,495.55</w:t>
      </w:r>
      <w:r>
        <w:rPr>
          <w:rFonts w:hint="eastAsia" w:ascii="仿宋_GB2312" w:hAnsi="仿宋_GB2312" w:eastAsia="仿宋_GB2312" w:cs="仿宋_GB2312"/>
          <w:sz w:val="32"/>
          <w:szCs w:val="32"/>
        </w:rPr>
        <w:t>万元，全年执行数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632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万元，全年执行率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%。该指标满分10分，得分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分。</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（二）产出指标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产出指标包括数量、质量、时效和成本四个二级指标，满分为</w:t>
      </w:r>
      <w:r>
        <w:rPr>
          <w:rFonts w:ascii="宋体" w:hAnsi="宋体" w:eastAsia="仿宋_GB2312"/>
          <w:color w:val="000000"/>
          <w:sz w:val="32"/>
          <w:szCs w:val="32"/>
        </w:rPr>
        <w:t>60</w:t>
      </w:r>
      <w:r>
        <w:rPr>
          <w:rFonts w:hint="eastAsia" w:ascii="宋体" w:hAnsi="宋体" w:eastAsia="仿宋_GB2312"/>
          <w:color w:val="000000"/>
          <w:sz w:val="32"/>
          <w:szCs w:val="32"/>
        </w:rPr>
        <w:t>分，得分为</w:t>
      </w:r>
      <w:r>
        <w:rPr>
          <w:rFonts w:ascii="宋体" w:hAnsi="宋体" w:eastAsia="仿宋_GB2312"/>
          <w:color w:val="000000"/>
          <w:sz w:val="32"/>
          <w:szCs w:val="32"/>
        </w:rPr>
        <w:t>33.6</w:t>
      </w:r>
      <w:r>
        <w:rPr>
          <w:rFonts w:hint="eastAsia" w:ascii="宋体" w:hAnsi="宋体" w:eastAsia="仿宋_GB2312"/>
          <w:color w:val="000000"/>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数量指标满分1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偏差原因分析及改进措施：2021年申请专项债券资金6000万元，21年未支出，应加快资金支付进度；2021年计划一期、二期工程完工，三期工程完成主体工程。实际建设内容：一期完工，二期主体完工，三期平整场地。按计划工程建设完成度为50%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数量指标满分1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时效指标满分1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11.1</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偏差原因分析及改进措施：项目计划于计划2022年8月竣工，截至2021年底项目按期完工度为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成本指标满分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偏差原因分析及改进措施：项目正在建设中，尚未完工，未发生运营成本。</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（三）效益指标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效益指标包括经济效益、社会效益、生态效益和可持续影响四个二级指标，满分20分，得分1</w:t>
      </w:r>
      <w:r>
        <w:rPr>
          <w:rFonts w:ascii="宋体" w:hAnsi="宋体" w:eastAsia="仿宋_GB2312"/>
          <w:color w:val="000000"/>
          <w:sz w:val="32"/>
          <w:szCs w:val="32"/>
        </w:rPr>
        <w:t>6</w:t>
      </w:r>
      <w:r>
        <w:rPr>
          <w:rFonts w:hint="eastAsia" w:ascii="宋体" w:hAnsi="宋体" w:eastAsia="仿宋_GB2312"/>
          <w:color w:val="000000"/>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1、经济效益指标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经济效益指标满分4分，得分0分。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偏差原因分析及改进措施：项目正在建设尚未竣工运营，尚未发挥经济效益。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宋体" w:hAnsi="宋体" w:eastAsia="仿宋_GB2312"/>
          <w:color w:val="000000"/>
          <w:sz w:val="32"/>
          <w:szCs w:val="32"/>
        </w:rPr>
        <w:t>社会效益指标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社会效益</w:t>
      </w:r>
      <w:r>
        <w:rPr>
          <w:rFonts w:hint="eastAsia" w:ascii="仿宋_GB2312" w:hAnsi="仿宋_GB2312" w:eastAsia="仿宋_GB2312" w:cs="仿宋_GB2312"/>
          <w:sz w:val="32"/>
          <w:szCs w:val="32"/>
        </w:rPr>
        <w:t>指标满分</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宋体" w:hAnsi="宋体" w:eastAsia="仿宋_GB2312"/>
          <w:color w:val="000000"/>
          <w:sz w:val="32"/>
          <w:szCs w:val="32"/>
        </w:rPr>
        <w:t>生态效益指标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生态效益指标</w:t>
      </w:r>
      <w:r>
        <w:rPr>
          <w:rFonts w:hint="eastAsia" w:ascii="仿宋_GB2312" w:hAnsi="仿宋_GB2312" w:eastAsia="仿宋_GB2312" w:cs="仿宋_GB2312"/>
          <w:sz w:val="32"/>
          <w:szCs w:val="32"/>
        </w:rPr>
        <w:t>满分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宋体" w:hAnsi="宋体" w:eastAsia="仿宋_GB2312"/>
          <w:color w:val="000000"/>
          <w:sz w:val="32"/>
          <w:szCs w:val="32"/>
        </w:rPr>
        <w:t>可持续影响指标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可持续影响指标</w:t>
      </w:r>
      <w:r>
        <w:rPr>
          <w:rFonts w:hint="eastAsia" w:ascii="仿宋_GB2312" w:hAnsi="仿宋_GB2312" w:eastAsia="仿宋_GB2312" w:cs="仿宋_GB2312"/>
          <w:sz w:val="32"/>
          <w:szCs w:val="32"/>
        </w:rPr>
        <w:t>满分2分，得分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（四）满意度指标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满意度指标满分10分，得分10分。</w:t>
      </w:r>
    </w:p>
    <w:p>
      <w:pPr>
        <w:pStyle w:val="2"/>
        <w:ind w:firstLine="640"/>
        <w:rPr>
          <w:b w:val="0"/>
        </w:rPr>
      </w:pPr>
      <w:r>
        <w:rPr>
          <w:rFonts w:hint="eastAsia"/>
          <w:b w:val="0"/>
        </w:rPr>
        <w:t>五、主要成效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w:t>
      </w:r>
      <w:r>
        <w:rPr>
          <w:rFonts w:hint="eastAsia" w:ascii="宋体" w:hAnsi="宋体" w:eastAsia="仿宋_GB2312"/>
          <w:color w:val="000000"/>
          <w:sz w:val="32"/>
          <w:szCs w:val="32"/>
        </w:rPr>
        <w:t>组织机构健全、职责分工明确，制定了</w:t>
      </w:r>
      <w:r>
        <w:rPr>
          <w:rFonts w:hint="eastAsia" w:ascii="仿宋_GB2312" w:hAnsi="仿宋_GB2312" w:eastAsia="仿宋_GB2312" w:cs="仿宋_GB2312"/>
          <w:sz w:val="32"/>
          <w:szCs w:val="32"/>
        </w:rPr>
        <w:t>债券资金管理制度及</w:t>
      </w:r>
      <w:r>
        <w:rPr>
          <w:rFonts w:hint="eastAsia" w:ascii="宋体" w:hAnsi="宋体" w:eastAsia="仿宋_GB2312"/>
          <w:color w:val="000000"/>
          <w:sz w:val="32"/>
          <w:szCs w:val="32"/>
        </w:rPr>
        <w:t>各项业务流程管理制度，</w:t>
      </w:r>
      <w:r>
        <w:rPr>
          <w:rFonts w:hint="eastAsia" w:ascii="仿宋_GB2312" w:hAnsi="仿宋_GB2312" w:eastAsia="仿宋_GB2312" w:cs="仿宋_GB2312"/>
          <w:sz w:val="32"/>
          <w:szCs w:val="32"/>
        </w:rPr>
        <w:t>制定了专项债券资金使用计划并按</w:t>
      </w:r>
      <w:r>
        <w:rPr>
          <w:rFonts w:hint="eastAsia" w:ascii="宋体" w:hAnsi="宋体" w:eastAsia="仿宋_GB2312"/>
          <w:color w:val="000000"/>
          <w:sz w:val="32"/>
          <w:szCs w:val="32"/>
        </w:rPr>
        <w:t>严格按照专项债券资金专户管理办法进行债券资金拨付</w:t>
      </w:r>
      <w:r>
        <w:rPr>
          <w:rFonts w:hint="eastAsia" w:ascii="仿宋_GB2312" w:hAnsi="仿宋_GB2312" w:eastAsia="仿宋_GB2312" w:cs="仿宋_GB2312"/>
          <w:sz w:val="32"/>
          <w:szCs w:val="32"/>
        </w:rPr>
        <w:t>。</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项目建成后，产业园将会以创业创新资源整合及服务创新为发展战略，形成以市场为导向，集知识产权、技术转移、创业孵化、信息服务、教育培训、展览展示等功能一体的中小企业“双创”产业园。</w:t>
      </w:r>
    </w:p>
    <w:p>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双创孵化产业园建设项目孵化创业成果，培育中小企业及其它创业者自主创新能力，促进创新企业成长，并将着力打造完整的创新创业服务链，为入驻企业成长提供和营造良好的创业环境。开发区管委会办公室为进一步提升管理水平，提高生产效益，为中小企业等提供新的发展机遇和空间，将会把双创孵化产业园建设项目作为双阳经济开发区建设的重点工作，使产业园能够成为开发区的“双创”平台，科技创新平台。</w:t>
      </w:r>
    </w:p>
    <w:p>
      <w:pPr>
        <w:pStyle w:val="2"/>
        <w:ind w:firstLine="640"/>
        <w:rPr>
          <w:b w:val="0"/>
        </w:rPr>
      </w:pPr>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宋体" w:hAnsi="宋体" w:eastAsia="仿宋_GB2312"/>
          <w:sz w:val="32"/>
          <w:szCs w:val="32"/>
        </w:rPr>
        <w:t>长春</w:t>
      </w:r>
      <w:bookmarkStart w:id="0" w:name="_GoBack"/>
      <w:bookmarkEnd w:id="0"/>
      <w:r>
        <w:rPr>
          <w:rFonts w:hint="eastAsia" w:ascii="宋体" w:hAnsi="宋体" w:eastAsia="仿宋_GB2312"/>
          <w:sz w:val="32"/>
          <w:szCs w:val="32"/>
        </w:rPr>
        <w:t>双阳经济开发区双创孵化产业园区项目</w:t>
      </w:r>
      <w:r>
        <w:rPr>
          <w:rFonts w:hint="eastAsia" w:ascii="仿宋_GB2312" w:hAnsi="仿宋_GB2312" w:eastAsia="仿宋_GB2312" w:cs="仿宋_GB2312"/>
          <w:sz w:val="32"/>
          <w:szCs w:val="32"/>
        </w:rPr>
        <w:t>绩效自评表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jg1YWJiZTUyNDY2YTI4ZWFlZGM3MzhjMTg3NGYifQ=="/>
  </w:docVars>
  <w:rsids>
    <w:rsidRoot w:val="00500587"/>
    <w:rsid w:val="000539C1"/>
    <w:rsid w:val="00053FB4"/>
    <w:rsid w:val="00070494"/>
    <w:rsid w:val="000737B0"/>
    <w:rsid w:val="000966AB"/>
    <w:rsid w:val="000A47D4"/>
    <w:rsid w:val="000D62CD"/>
    <w:rsid w:val="00124B30"/>
    <w:rsid w:val="001419DF"/>
    <w:rsid w:val="001B0173"/>
    <w:rsid w:val="001D552A"/>
    <w:rsid w:val="001F1ADD"/>
    <w:rsid w:val="00216000"/>
    <w:rsid w:val="00223444"/>
    <w:rsid w:val="00293507"/>
    <w:rsid w:val="002A2133"/>
    <w:rsid w:val="003116EA"/>
    <w:rsid w:val="00330D73"/>
    <w:rsid w:val="003731B3"/>
    <w:rsid w:val="00387301"/>
    <w:rsid w:val="003B5A07"/>
    <w:rsid w:val="003C1A3F"/>
    <w:rsid w:val="0040084D"/>
    <w:rsid w:val="0042518B"/>
    <w:rsid w:val="00450471"/>
    <w:rsid w:val="004558F9"/>
    <w:rsid w:val="00496724"/>
    <w:rsid w:val="004C3699"/>
    <w:rsid w:val="00500587"/>
    <w:rsid w:val="0051214D"/>
    <w:rsid w:val="005B2F45"/>
    <w:rsid w:val="005B54C6"/>
    <w:rsid w:val="005C2A02"/>
    <w:rsid w:val="005D5E65"/>
    <w:rsid w:val="005F01BC"/>
    <w:rsid w:val="005F24C7"/>
    <w:rsid w:val="00631220"/>
    <w:rsid w:val="00643203"/>
    <w:rsid w:val="00643860"/>
    <w:rsid w:val="006739BD"/>
    <w:rsid w:val="007475BB"/>
    <w:rsid w:val="0079078D"/>
    <w:rsid w:val="00797732"/>
    <w:rsid w:val="007A0FBD"/>
    <w:rsid w:val="00860605"/>
    <w:rsid w:val="00871164"/>
    <w:rsid w:val="00872DEF"/>
    <w:rsid w:val="0087324B"/>
    <w:rsid w:val="00883B1A"/>
    <w:rsid w:val="00896590"/>
    <w:rsid w:val="00906B8F"/>
    <w:rsid w:val="00914F1B"/>
    <w:rsid w:val="00916E89"/>
    <w:rsid w:val="00986DDD"/>
    <w:rsid w:val="009D0CA4"/>
    <w:rsid w:val="009F067F"/>
    <w:rsid w:val="00A00CB2"/>
    <w:rsid w:val="00A642B5"/>
    <w:rsid w:val="00AD3F4B"/>
    <w:rsid w:val="00B61677"/>
    <w:rsid w:val="00BB10AF"/>
    <w:rsid w:val="00BB40DC"/>
    <w:rsid w:val="00BC212B"/>
    <w:rsid w:val="00BD0C6A"/>
    <w:rsid w:val="00BF5546"/>
    <w:rsid w:val="00C729BB"/>
    <w:rsid w:val="00C75315"/>
    <w:rsid w:val="00C86B4F"/>
    <w:rsid w:val="00CC786B"/>
    <w:rsid w:val="00D00D08"/>
    <w:rsid w:val="00D1792D"/>
    <w:rsid w:val="00D3174A"/>
    <w:rsid w:val="00D62F51"/>
    <w:rsid w:val="00DB25E6"/>
    <w:rsid w:val="00DB5379"/>
    <w:rsid w:val="00DB7309"/>
    <w:rsid w:val="00DE7C39"/>
    <w:rsid w:val="00DF6E07"/>
    <w:rsid w:val="00E0078A"/>
    <w:rsid w:val="00E26B7F"/>
    <w:rsid w:val="00E30DEB"/>
    <w:rsid w:val="00E431E0"/>
    <w:rsid w:val="00F014A9"/>
    <w:rsid w:val="00F449ED"/>
    <w:rsid w:val="00F907B5"/>
    <w:rsid w:val="00F95DE2"/>
    <w:rsid w:val="00FD2BAC"/>
    <w:rsid w:val="0888565B"/>
    <w:rsid w:val="28CD2D8F"/>
    <w:rsid w:val="3E8F0BBD"/>
    <w:rsid w:val="400E3D4F"/>
    <w:rsid w:val="43A70133"/>
    <w:rsid w:val="472C6247"/>
    <w:rsid w:val="64E233A1"/>
    <w:rsid w:val="669259E8"/>
    <w:rsid w:val="6AAA3AEF"/>
    <w:rsid w:val="783D5BCD"/>
    <w:rsid w:val="796C5CB8"/>
    <w:rsid w:val="7A39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ind w:firstLine="200" w:firstLineChars="200"/>
      <w:outlineLvl w:val="0"/>
    </w:pPr>
    <w:rPr>
      <w:rFonts w:eastAsia="黑体"/>
      <w:b/>
      <w:bCs/>
      <w:kern w:val="44"/>
      <w:sz w:val="32"/>
      <w:szCs w:val="44"/>
    </w:rPr>
  </w:style>
  <w:style w:type="paragraph" w:styleId="3">
    <w:name w:val="heading 2"/>
    <w:basedOn w:val="1"/>
    <w:next w:val="1"/>
    <w:link w:val="18"/>
    <w:unhideWhenUsed/>
    <w:qFormat/>
    <w:uiPriority w:val="0"/>
    <w:pPr>
      <w:keepNext/>
      <w:keepLines/>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14"/>
    <w:unhideWhenUsed/>
    <w:qFormat/>
    <w:uiPriority w:val="9"/>
    <w:pPr>
      <w:keepNext/>
      <w:keepLines/>
      <w:ind w:firstLine="200" w:firstLineChars="200"/>
      <w:outlineLvl w:val="2"/>
    </w:pPr>
    <w:rPr>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5"/>
    <w:unhideWhenUsed/>
    <w:qFormat/>
    <w:uiPriority w:val="99"/>
    <w:pPr>
      <w:jc w:val="left"/>
    </w:pPr>
    <w:rPr>
      <w:szCs w:val="22"/>
    </w:rPr>
  </w:style>
  <w:style w:type="paragraph" w:styleId="6">
    <w:name w:val="Balloon Text"/>
    <w:basedOn w:val="1"/>
    <w:link w:val="16"/>
    <w:uiPriority w:val="0"/>
    <w:rPr>
      <w:sz w:val="18"/>
      <w:szCs w:val="18"/>
    </w:rPr>
  </w:style>
  <w:style w:type="paragraph" w:styleId="7">
    <w:name w:val="footer"/>
    <w:basedOn w:val="1"/>
    <w:link w:val="20"/>
    <w:uiPriority w:val="0"/>
    <w:pPr>
      <w:tabs>
        <w:tab w:val="center" w:pos="4153"/>
        <w:tab w:val="right" w:pos="8306"/>
      </w:tabs>
      <w:snapToGrid w:val="0"/>
      <w:jc w:val="left"/>
    </w:pPr>
    <w:rPr>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12">
    <w:name w:val="annotation reference"/>
    <w:basedOn w:val="11"/>
    <w:unhideWhenUsed/>
    <w:uiPriority w:val="99"/>
    <w:rPr>
      <w:sz w:val="21"/>
      <w:szCs w:val="21"/>
    </w:rPr>
  </w:style>
  <w:style w:type="paragraph" w:styleId="13">
    <w:name w:val="List Paragraph"/>
    <w:basedOn w:val="1"/>
    <w:uiPriority w:val="99"/>
    <w:pPr>
      <w:ind w:firstLine="420" w:firstLineChars="200"/>
    </w:pPr>
  </w:style>
  <w:style w:type="character" w:customStyle="1" w:styleId="14">
    <w:name w:val="标题 3 字符"/>
    <w:basedOn w:val="11"/>
    <w:link w:val="4"/>
    <w:qFormat/>
    <w:uiPriority w:val="9"/>
    <w:rPr>
      <w:bCs/>
      <w:kern w:val="2"/>
      <w:sz w:val="32"/>
      <w:szCs w:val="32"/>
    </w:rPr>
  </w:style>
  <w:style w:type="character" w:customStyle="1" w:styleId="15">
    <w:name w:val="批注文字 字符"/>
    <w:basedOn w:val="11"/>
    <w:link w:val="5"/>
    <w:uiPriority w:val="99"/>
    <w:rPr>
      <w:kern w:val="2"/>
      <w:sz w:val="21"/>
      <w:szCs w:val="22"/>
    </w:rPr>
  </w:style>
  <w:style w:type="character" w:customStyle="1" w:styleId="16">
    <w:name w:val="批注框文本 字符"/>
    <w:basedOn w:val="11"/>
    <w:link w:val="6"/>
    <w:uiPriority w:val="0"/>
    <w:rPr>
      <w:kern w:val="2"/>
      <w:sz w:val="18"/>
      <w:szCs w:val="18"/>
    </w:rPr>
  </w:style>
  <w:style w:type="character" w:customStyle="1" w:styleId="17">
    <w:name w:val="标题 1 字符"/>
    <w:basedOn w:val="11"/>
    <w:link w:val="2"/>
    <w:uiPriority w:val="0"/>
    <w:rPr>
      <w:rFonts w:eastAsia="黑体"/>
      <w:b/>
      <w:bCs/>
      <w:kern w:val="44"/>
      <w:sz w:val="32"/>
      <w:szCs w:val="44"/>
    </w:rPr>
  </w:style>
  <w:style w:type="character" w:customStyle="1" w:styleId="18">
    <w:name w:val="标题 2 字符"/>
    <w:basedOn w:val="11"/>
    <w:link w:val="3"/>
    <w:uiPriority w:val="0"/>
    <w:rPr>
      <w:rFonts w:eastAsia="仿宋" w:asciiTheme="majorHAnsi" w:hAnsiTheme="majorHAnsi" w:cstheme="majorBidi"/>
      <w:b/>
      <w:bCs/>
      <w:kern w:val="2"/>
      <w:sz w:val="32"/>
      <w:szCs w:val="32"/>
    </w:rPr>
  </w:style>
  <w:style w:type="character" w:customStyle="1" w:styleId="19">
    <w:name w:val="页眉 字符"/>
    <w:basedOn w:val="11"/>
    <w:link w:val="8"/>
    <w:uiPriority w:val="0"/>
    <w:rPr>
      <w:kern w:val="2"/>
      <w:sz w:val="18"/>
      <w:szCs w:val="18"/>
    </w:rPr>
  </w:style>
  <w:style w:type="character" w:customStyle="1" w:styleId="20">
    <w:name w:val="页脚 字符"/>
    <w:basedOn w:val="11"/>
    <w:link w:val="7"/>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2750</Words>
  <Characters>3102</Characters>
  <Lines>22</Lines>
  <Paragraphs>6</Paragraphs>
  <TotalTime>1376</TotalTime>
  <ScaleCrop>false</ScaleCrop>
  <LinksUpToDate>false</LinksUpToDate>
  <CharactersWithSpaces>3108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李小多</cp:lastModifiedBy>
  <dcterms:modified xsi:type="dcterms:W3CDTF">2022-06-28T03:38:41Z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C0C7E3F4ED3A40499BC82C00E50BCF52</vt:lpwstr>
  </property>
</Properties>
</file>