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sz w:val="28"/>
          <w:szCs w:val="28"/>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长春市双阳区奢岭高新创业孵化基地</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绩效评价报告</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项目单位：长春聚丰投资开发有限责任公司</w:t>
      </w:r>
    </w:p>
    <w:p>
      <w:pPr>
        <w:jc w:val="left"/>
        <w:rPr>
          <w:rFonts w:ascii="方正小标宋简体" w:hAnsi="方正小标宋简体" w:eastAsia="方正小标宋简体" w:cs="方正小标宋简体"/>
          <w:sz w:val="36"/>
          <w:szCs w:val="36"/>
        </w:rPr>
      </w:pPr>
    </w:p>
    <w:p>
      <w:pPr>
        <w:jc w:val="left"/>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主管部门：长春双阳经济开发区管理委员会</w:t>
      </w: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44"/>
          <w:szCs w:val="44"/>
        </w:rPr>
      </w:pPr>
    </w:p>
    <w:p>
      <w:pPr>
        <w:jc w:val="center"/>
        <w:rPr>
          <w:rFonts w:ascii="方正小标宋简体" w:hAnsi="方正小标宋简体" w:eastAsia="方正小标宋简体" w:cs="方正小标宋简体"/>
          <w:sz w:val="32"/>
          <w:szCs w:val="32"/>
        </w:rPr>
        <w:sectPr>
          <w:pgSz w:w="11906" w:h="16838"/>
          <w:pgMar w:top="1440" w:right="1800" w:bottom="1440" w:left="1800" w:header="851" w:footer="992" w:gutter="0"/>
          <w:cols w:space="425" w:num="1"/>
          <w:docGrid w:type="lines" w:linePitch="312" w:charSpace="0"/>
        </w:sectPr>
      </w:pPr>
    </w:p>
    <w:p>
      <w:pPr>
        <w:pStyle w:val="2"/>
        <w:ind w:firstLine="640"/>
        <w:rPr>
          <w:b w:val="0"/>
        </w:rPr>
      </w:pPr>
      <w:r>
        <w:rPr>
          <w:rFonts w:hint="eastAsia"/>
          <w:b w:val="0"/>
        </w:rPr>
        <w:t>一、基本情况</w:t>
      </w:r>
    </w:p>
    <w:p>
      <w:pPr>
        <w:pStyle w:val="3"/>
        <w:ind w:firstLine="640"/>
      </w:pPr>
      <w:r>
        <w:rPr>
          <w:rFonts w:hint="eastAsia" w:ascii="仿宋_GB2312" w:hAnsi="仿宋_GB2312" w:eastAsia="仿宋_GB2312" w:cs="仿宋_GB2312"/>
          <w:b w:val="0"/>
          <w:bCs w:val="0"/>
        </w:rPr>
        <w:t>（一）项目概况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1、项目背景</w:t>
      </w:r>
    </w:p>
    <w:p>
      <w:pPr>
        <w:ind w:firstLine="640" w:firstLineChars="200"/>
        <w:rPr>
          <w:rFonts w:ascii="宋体" w:hAnsi="宋体" w:eastAsia="仿宋_GB2312"/>
          <w:sz w:val="32"/>
          <w:szCs w:val="32"/>
        </w:rPr>
      </w:pPr>
      <w:r>
        <w:rPr>
          <w:rFonts w:ascii="宋体" w:hAnsi="宋体" w:eastAsia="仿宋_GB2312"/>
          <w:sz w:val="32"/>
          <w:szCs w:val="32"/>
        </w:rPr>
        <w:t>新型城镇化是党的十八大确定的重大战略，是全面建设小康社会的重大任务，是实现现代化的必由之路。吉林省新型城镇化规划(2014-2020年)提出努力走出一条具有吉林特色的城镇化发展道路，强调城镇化是吉林省经济社会发展的持久动力。扎实推进具有吉林特色的新型城镇化建设，对加快产业结构转型升级、解决“三农”问题、加快振兴发展、促进社会全面进步意义重大。</w:t>
      </w:r>
    </w:p>
    <w:p>
      <w:pPr>
        <w:ind w:firstLine="640" w:firstLineChars="200"/>
        <w:rPr>
          <w:rFonts w:ascii="宋体" w:hAnsi="宋体" w:eastAsia="仿宋_GB2312"/>
          <w:sz w:val="32"/>
          <w:szCs w:val="32"/>
        </w:rPr>
      </w:pPr>
      <w:r>
        <w:rPr>
          <w:rFonts w:ascii="宋体" w:hAnsi="宋体" w:eastAsia="仿宋_GB2312"/>
          <w:sz w:val="32"/>
          <w:szCs w:val="32"/>
        </w:rPr>
        <w:t>2013年8月，吉林省正式启动特色城镇化示范城镇建设，长春进入首批试点行列的6个特色城镇，成为全省示范，奢岭镇为其中一个试点城镇。奢岭镇隶属于长春双阳经济开发区，位于双阳区西北部，地处长春市中心城区东南部，北靠长春净月高新技术产业区的净月潭森林公园、新湖镇和四家乡；东依永吉县、齐家镇；南连双营子乡；西临伊通县、鹿乡镇。距双阳区中心城区18公里，距长春市火车站38公里。总面积264平方公里。奢岭街道紧邻净月经济开发区，是净月通往双阳区的必经之地，是“承接净月”“沟通双阳”的桥梁与纽带。</w:t>
      </w:r>
    </w:p>
    <w:p>
      <w:pPr>
        <w:ind w:firstLine="640" w:firstLineChars="200"/>
        <w:rPr>
          <w:rFonts w:ascii="宋体" w:hAnsi="宋体" w:eastAsia="仿宋_GB2312"/>
          <w:sz w:val="32"/>
          <w:szCs w:val="32"/>
        </w:rPr>
      </w:pPr>
      <w:r>
        <w:rPr>
          <w:rFonts w:ascii="宋体" w:hAnsi="宋体" w:eastAsia="仿宋_GB2312"/>
          <w:sz w:val="32"/>
          <w:szCs w:val="32"/>
        </w:rPr>
        <w:t>作为紧邻净月经济开发区的奢岭镇，直接受到净月经济开发区经济发展辐射的影响，2018年，奢岭镇又被作为双阳经济开发区旅游文化产业发展的主要城镇，为在新一轮经济增长期内抓机遇，形成旅游和产业集群优势，优化城市资源配置，改善现有较为落后的城市交通状况，必须加快对城市路网的建设。同时，伴随着长春市经济的快速发展，城市化水平不断提高，改善市政基础设施状况，特别是改善农村、城乡结合部的落后交通面貌，促进城乡统筹、协调发展和长春市经济社会的跨越式发展，尽快形成一个经济繁荣的良好城市格局和空间发展态势，奢岭镇的基础</w:t>
      </w:r>
      <w:r>
        <w:rPr>
          <w:rFonts w:hint="eastAsia" w:ascii="宋体" w:hAnsi="宋体" w:eastAsia="仿宋_GB2312"/>
          <w:sz w:val="32"/>
          <w:szCs w:val="32"/>
        </w:rPr>
        <w:t>设施</w:t>
      </w:r>
      <w:r>
        <w:rPr>
          <w:rFonts w:ascii="宋体" w:hAnsi="宋体" w:eastAsia="仿宋_GB2312"/>
          <w:sz w:val="32"/>
          <w:szCs w:val="32"/>
        </w:rPr>
        <w:t>建设显得更加紧迫。</w:t>
      </w:r>
    </w:p>
    <w:p>
      <w:pPr>
        <w:ind w:firstLine="640" w:firstLineChars="200"/>
        <w:rPr>
          <w:rFonts w:ascii="宋体" w:hAnsi="宋体" w:eastAsia="仿宋_GB2312"/>
          <w:sz w:val="32"/>
          <w:szCs w:val="32"/>
        </w:rPr>
      </w:pPr>
      <w:r>
        <w:rPr>
          <w:rFonts w:ascii="宋体" w:hAnsi="宋体" w:eastAsia="仿宋_GB2312"/>
          <w:sz w:val="32"/>
          <w:szCs w:val="32"/>
        </w:rPr>
        <w:t>近年来，在长春市、双阳区两级政府统筹领导下，奢岭镇重点推进大学城、奥特莱斯城市综合体、奢岭乡村都市、洁净工业四大板块建设，奢新北线二期、城乡建设用地增减挂钩农民回迁楼等12个重点项目及投资101亿元的国信奢岭乡村都市项目售楼中心、样板房、温泉酒店、温泉浴场已相继开工建设完成。</w:t>
      </w:r>
    </w:p>
    <w:p>
      <w:pPr>
        <w:ind w:firstLine="640"/>
        <w:rPr>
          <w:rFonts w:ascii="仿宋_GB2312" w:hAnsi="仿宋_GB2312" w:eastAsia="仿宋_GB2312" w:cs="仿宋_GB2312"/>
          <w:sz w:val="32"/>
          <w:szCs w:val="32"/>
        </w:rPr>
      </w:pPr>
      <w:r>
        <w:rPr>
          <w:rFonts w:ascii="宋体" w:hAnsi="宋体" w:eastAsia="仿宋_GB2312"/>
          <w:sz w:val="32"/>
          <w:szCs w:val="32"/>
        </w:rPr>
        <w:t>随着项目的先后落成，镇区交通不畅、运力不足、基础设施薄弱日益凸显，为了进一步改善投资环境，为落户企业的生产和生活创造条件，配合奢岭镇的经济发展以及开发建设，完善项目区域的路网，改善项目区域内的投资环境和人文环境，推进长春市东南翼的“后花园”建设，更好的完成生态</w:t>
      </w:r>
      <w:r>
        <w:rPr>
          <w:rFonts w:hint="eastAsia" w:ascii="宋体" w:hAnsi="宋体" w:eastAsia="仿宋_GB2312"/>
          <w:sz w:val="32"/>
          <w:szCs w:val="32"/>
        </w:rPr>
        <w:t>创业、</w:t>
      </w:r>
      <w:r>
        <w:rPr>
          <w:rFonts w:ascii="宋体" w:hAnsi="宋体" w:eastAsia="仿宋_GB2312"/>
          <w:sz w:val="32"/>
          <w:szCs w:val="32"/>
        </w:rPr>
        <w:t>生态居住、旅游服务、生态农业、教育产业为主的生态新城的建设，拟进行</w:t>
      </w:r>
      <w:r>
        <w:rPr>
          <w:rFonts w:hint="eastAsia" w:ascii="宋体" w:hAnsi="宋体" w:eastAsia="仿宋_GB2312"/>
          <w:sz w:val="32"/>
          <w:szCs w:val="32"/>
        </w:rPr>
        <w:t>长春市双阳区奢岭高新创业孵化基地</w:t>
      </w:r>
      <w:r>
        <w:rPr>
          <w:rFonts w:ascii="宋体" w:hAnsi="宋体" w:eastAsia="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2、项目主要内容及实施情况</w:t>
      </w:r>
    </w:p>
    <w:p>
      <w:pPr>
        <w:ind w:firstLine="640" w:firstLineChars="200"/>
        <w:rPr>
          <w:rFonts w:ascii="宋体" w:hAnsi="宋体" w:eastAsia="仿宋_GB2312"/>
          <w:sz w:val="32"/>
          <w:szCs w:val="32"/>
        </w:rPr>
      </w:pPr>
      <w:r>
        <w:rPr>
          <w:rFonts w:hint="eastAsia" w:ascii="宋体" w:hAnsi="宋体" w:eastAsia="仿宋_GB2312"/>
          <w:sz w:val="32"/>
          <w:szCs w:val="32"/>
        </w:rPr>
        <w:t xml:space="preserve">本项目建设主要包括两部分： </w:t>
      </w:r>
    </w:p>
    <w:p>
      <w:pPr>
        <w:ind w:firstLine="640" w:firstLineChars="200"/>
        <w:rPr>
          <w:rFonts w:ascii="宋体" w:hAnsi="宋体" w:eastAsia="仿宋_GB2312"/>
          <w:sz w:val="32"/>
          <w:szCs w:val="32"/>
        </w:rPr>
      </w:pPr>
      <w:r>
        <w:rPr>
          <w:rFonts w:hint="eastAsia" w:ascii="宋体" w:hAnsi="宋体" w:eastAsia="仿宋_GB2312"/>
          <w:sz w:val="32"/>
          <w:szCs w:val="32"/>
        </w:rPr>
        <w:t>第一部分：项目总占地面积49461㎡，总建筑面积70049.56㎡（创业培训指导中心建筑面积1300㎡；标准化厂房和库房和研发中心用建筑面积34300㎡；生活配套服务用建筑面积25700㎡；其他8749.56㎡），容积率为1.26，建筑系数34.13%。</w:t>
      </w:r>
    </w:p>
    <w:p>
      <w:pPr>
        <w:ind w:firstLine="640"/>
        <w:rPr>
          <w:rFonts w:ascii="仿宋_GB2312" w:hAnsi="仿宋_GB2312" w:eastAsia="仿宋_GB2312" w:cs="仿宋_GB2312"/>
          <w:sz w:val="32"/>
          <w:szCs w:val="32"/>
        </w:rPr>
      </w:pPr>
      <w:r>
        <w:rPr>
          <w:rFonts w:hint="eastAsia" w:ascii="宋体" w:hAnsi="宋体" w:eastAsia="仿宋_GB2312"/>
          <w:sz w:val="32"/>
          <w:szCs w:val="32"/>
        </w:rPr>
        <w:t>第二部分：丙二十二路、丙三十五路、丙三十四路、长清西街、丙十九街、乙三路、丙二十五街。项目设计规模：道路长度8.193km。项目主要内容包括：乙三街组团的道路、照明、桥梁、给水、雨水、污水、通信、温泉管道工程。</w:t>
      </w:r>
    </w:p>
    <w:p>
      <w:pPr>
        <w:ind w:firstLine="640"/>
        <w:rPr>
          <w:rFonts w:ascii="仿宋_GB2312" w:hAnsi="仿宋_GB2312" w:eastAsia="仿宋_GB2312" w:cs="仿宋_GB2312"/>
          <w:sz w:val="32"/>
          <w:szCs w:val="32"/>
        </w:rPr>
      </w:pPr>
      <w:r>
        <w:rPr>
          <w:rFonts w:hint="eastAsia" w:ascii="仿宋_GB2312" w:hAnsi="宋体" w:eastAsia="仿宋_GB2312"/>
          <w:color w:val="000000"/>
          <w:sz w:val="32"/>
          <w:szCs w:val="32"/>
        </w:rPr>
        <w:t>项目目前处于在建状态，2021年</w:t>
      </w:r>
      <w:r>
        <w:rPr>
          <w:rFonts w:hint="eastAsia" w:ascii="仿宋" w:hAnsi="仿宋" w:eastAsia="仿宋" w:cs="仿宋"/>
          <w:sz w:val="32"/>
          <w:szCs w:val="32"/>
        </w:rPr>
        <w:t>主体工程南地块完成四层顶梁板混凝土浇筑等建设内容；北地块完成2层顶梁板、柱混凝土浇筑建设。</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3、资金投入和使用情况</w:t>
      </w:r>
    </w:p>
    <w:p>
      <w:pPr>
        <w:ind w:firstLine="640"/>
        <w:rPr>
          <w:rFonts w:ascii="仿宋_GB2312" w:hAnsi="宋体" w:eastAsia="仿宋_GB2312"/>
          <w:color w:val="000000"/>
          <w:sz w:val="32"/>
          <w:szCs w:val="32"/>
        </w:rPr>
      </w:pPr>
      <w:r>
        <w:rPr>
          <w:rFonts w:hint="eastAsia" w:ascii="仿宋_GB2312" w:hAnsi="宋体" w:eastAsia="仿宋_GB2312"/>
          <w:color w:val="000000"/>
          <w:sz w:val="32"/>
          <w:szCs w:val="32"/>
        </w:rPr>
        <w:t>长春市双阳区发展和改革局《关于长春市双阳区奢岭高新创业孵化基地可行性研究报告的批复》（长双发改审批字[2020]27号）批复该项目总投资为</w:t>
      </w:r>
      <w:r>
        <w:rPr>
          <w:rFonts w:ascii="仿宋_GB2312" w:hAnsi="宋体" w:eastAsia="仿宋_GB2312"/>
          <w:color w:val="000000"/>
          <w:sz w:val="32"/>
          <w:szCs w:val="32"/>
        </w:rPr>
        <w:t>80,000.00万元，</w:t>
      </w:r>
      <w:r>
        <w:rPr>
          <w:rFonts w:hint="eastAsia" w:ascii="仿宋_GB2312" w:hAnsi="宋体" w:eastAsia="仿宋_GB2312"/>
          <w:color w:val="000000"/>
          <w:sz w:val="32"/>
          <w:szCs w:val="32"/>
        </w:rPr>
        <w:t>2021年申请地方政府专项债券资金</w:t>
      </w:r>
      <w:r>
        <w:rPr>
          <w:rFonts w:ascii="仿宋_GB2312" w:hAnsi="宋体" w:eastAsia="仿宋_GB2312"/>
          <w:color w:val="000000"/>
          <w:sz w:val="32"/>
          <w:szCs w:val="32"/>
        </w:rPr>
        <w:t>28</w:t>
      </w:r>
      <w:r>
        <w:rPr>
          <w:rFonts w:hint="eastAsia" w:ascii="仿宋_GB2312" w:hAnsi="宋体" w:eastAsia="仿宋_GB2312"/>
          <w:color w:val="000000"/>
          <w:sz w:val="32"/>
          <w:szCs w:val="32"/>
        </w:rPr>
        <w:t>,000</w:t>
      </w:r>
      <w:r>
        <w:rPr>
          <w:rFonts w:ascii="仿宋_GB2312" w:hAnsi="宋体" w:eastAsia="仿宋_GB2312"/>
          <w:color w:val="000000"/>
          <w:sz w:val="32"/>
          <w:szCs w:val="32"/>
        </w:rPr>
        <w:t>.00</w:t>
      </w:r>
      <w:r>
        <w:rPr>
          <w:rFonts w:hint="eastAsia" w:ascii="仿宋_GB2312" w:hAnsi="宋体" w:eastAsia="仿宋_GB2312"/>
          <w:color w:val="000000"/>
          <w:sz w:val="32"/>
          <w:szCs w:val="32"/>
        </w:rPr>
        <w:t>万</w:t>
      </w:r>
      <w:r>
        <w:rPr>
          <w:rFonts w:ascii="仿宋_GB2312" w:hAnsi="宋体" w:eastAsia="仿宋_GB2312"/>
          <w:color w:val="000000"/>
          <w:sz w:val="32"/>
          <w:szCs w:val="32"/>
        </w:rPr>
        <w:t>元</w:t>
      </w:r>
      <w:r>
        <w:rPr>
          <w:rFonts w:hint="eastAsia" w:ascii="仿宋_GB2312" w:hAnsi="宋体" w:eastAsia="仿宋_GB2312"/>
          <w:color w:val="000000"/>
          <w:sz w:val="32"/>
          <w:szCs w:val="32"/>
        </w:rPr>
        <w:t>，根据长春市双阳区财政局文件《关于长春市双阳区2021年第二批专项债券项目资本金纳入财政预算调整计划的函》（长双财函[2021]1034号），项目资本金纳入区级财政预算调整计划，2021年财政预算安排18</w:t>
      </w:r>
      <w:r>
        <w:rPr>
          <w:rFonts w:ascii="仿宋_GB2312" w:hAnsi="宋体" w:eastAsia="仿宋_GB2312"/>
          <w:color w:val="000000"/>
          <w:sz w:val="32"/>
          <w:szCs w:val="32"/>
        </w:rPr>
        <w:t>,</w:t>
      </w:r>
      <w:r>
        <w:rPr>
          <w:rFonts w:hint="eastAsia" w:ascii="仿宋_GB2312" w:hAnsi="宋体" w:eastAsia="仿宋_GB2312"/>
          <w:color w:val="000000"/>
          <w:sz w:val="32"/>
          <w:szCs w:val="32"/>
        </w:rPr>
        <w:t>486.14万元。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2021年专项债券资金支付</w:t>
      </w:r>
      <w:r>
        <w:rPr>
          <w:rFonts w:ascii="仿宋_GB2312" w:hAnsi="宋体" w:eastAsia="仿宋_GB2312"/>
          <w:color w:val="000000"/>
          <w:sz w:val="32"/>
          <w:szCs w:val="32"/>
        </w:rPr>
        <w:t>28</w:t>
      </w:r>
      <w:r>
        <w:rPr>
          <w:rFonts w:hint="eastAsia" w:ascii="仿宋_GB2312" w:hAnsi="宋体" w:eastAsia="仿宋_GB2312"/>
          <w:color w:val="000000"/>
          <w:sz w:val="32"/>
          <w:szCs w:val="32"/>
        </w:rPr>
        <w:t>,000</w:t>
      </w:r>
      <w:r>
        <w:rPr>
          <w:rFonts w:ascii="仿宋_GB2312" w:hAnsi="宋体" w:eastAsia="仿宋_GB2312"/>
          <w:color w:val="000000"/>
          <w:sz w:val="32"/>
          <w:szCs w:val="32"/>
        </w:rPr>
        <w:t>.00</w:t>
      </w:r>
      <w:r>
        <w:rPr>
          <w:rFonts w:hint="eastAsia" w:ascii="仿宋_GB2312" w:hAnsi="宋体" w:eastAsia="仿宋_GB2312"/>
          <w:color w:val="000000"/>
          <w:sz w:val="32"/>
          <w:szCs w:val="32"/>
        </w:rPr>
        <w:t>万</w:t>
      </w:r>
      <w:r>
        <w:rPr>
          <w:rFonts w:ascii="仿宋_GB2312" w:hAnsi="宋体" w:eastAsia="仿宋_GB2312"/>
          <w:color w:val="000000"/>
          <w:sz w:val="32"/>
          <w:szCs w:val="32"/>
        </w:rPr>
        <w:t>元</w:t>
      </w:r>
      <w:r>
        <w:rPr>
          <w:rFonts w:hint="eastAsia" w:ascii="仿宋_GB2312" w:hAnsi="宋体" w:eastAsia="仿宋_GB2312"/>
          <w:color w:val="000000"/>
          <w:sz w:val="32"/>
          <w:szCs w:val="32"/>
        </w:rPr>
        <w:t>，资本金支付专项债券利息488.40万元。</w:t>
      </w:r>
    </w:p>
    <w:p>
      <w:pPr>
        <w:pStyle w:val="3"/>
        <w:ind w:firstLine="518" w:firstLineChars="162"/>
        <w:rPr>
          <w:rFonts w:ascii="仿宋_GB2312" w:hAnsi="仿宋_GB2312" w:eastAsia="仿宋_GB2312" w:cs="仿宋_GB2312"/>
          <w:b w:val="0"/>
          <w:bCs w:val="0"/>
        </w:rPr>
      </w:pPr>
      <w:r>
        <w:rPr>
          <w:rFonts w:hint="eastAsia" w:ascii="仿宋_GB2312" w:hAnsi="仿宋_GB2312" w:eastAsia="仿宋_GB2312" w:cs="仿宋_GB2312"/>
          <w:b w:val="0"/>
          <w:bCs w:val="0"/>
        </w:rPr>
        <w:t>（二）项目绩效目标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1、总体目标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项目按期竣工，基地工程及基础设施工程顺利投入使用。工程建成后，</w:t>
      </w:r>
      <w:r>
        <w:rPr>
          <w:rFonts w:ascii="仿宋_GB2312" w:hAnsi="仿宋_GB2312" w:eastAsia="仿宋_GB2312" w:cs="仿宋_GB2312"/>
          <w:sz w:val="32"/>
          <w:szCs w:val="32"/>
        </w:rPr>
        <w:t>基地通过市场化运营，为创业者提供经营场所、配套公共设施和相关创业服务，具备孵化与培育企业功能的特定区域</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搭建完善的孵化基地公共技术服务平台</w:t>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2、阶段性目标。</w:t>
      </w:r>
    </w:p>
    <w:p>
      <w:pPr>
        <w:ind w:firstLine="640"/>
        <w:rPr>
          <w:rFonts w:ascii="仿宋_GB2312" w:hAnsi="仿宋_GB2312" w:eastAsia="仿宋_GB2312" w:cs="仿宋_GB2312"/>
          <w:sz w:val="32"/>
          <w:szCs w:val="32"/>
        </w:rPr>
      </w:pPr>
      <w:r>
        <w:rPr>
          <w:rFonts w:hint="eastAsia" w:ascii="仿宋" w:hAnsi="仿宋" w:eastAsia="仿宋" w:cs="仿宋"/>
          <w:sz w:val="32"/>
          <w:szCs w:val="32"/>
        </w:rPr>
        <w:t>2021年计划完成主体工程结构建设和七条市政道路的部分工程。</w:t>
      </w:r>
    </w:p>
    <w:p>
      <w:pPr>
        <w:pStyle w:val="2"/>
        <w:ind w:firstLine="640"/>
        <w:rPr>
          <w:rFonts w:ascii="仿宋_GB2312" w:hAnsi="仿宋_GB2312" w:eastAsia="仿宋_GB2312" w:cs="仿宋_GB2312"/>
          <w:b w:val="0"/>
          <w:szCs w:val="32"/>
        </w:rPr>
      </w:pPr>
      <w:r>
        <w:rPr>
          <w:rFonts w:hint="eastAsia"/>
          <w:b w:val="0"/>
        </w:rPr>
        <w:t>二、绩效评价工作开展情况</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（一）绩效评价目标</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根据评价项目的情况和特点，运用科学、规范的绩效评价方法，客观、公正地对</w:t>
      </w:r>
      <w:r>
        <w:rPr>
          <w:rFonts w:hint="eastAsia" w:ascii="宋体" w:hAnsi="宋体" w:eastAsia="仿宋_GB2312"/>
          <w:sz w:val="32"/>
          <w:szCs w:val="32"/>
        </w:rPr>
        <w:t>长春聚丰投资开发有限责任公</w:t>
      </w:r>
      <w:r>
        <w:rPr>
          <w:rFonts w:hint="eastAsia" w:ascii="仿宋_GB2312" w:hAnsi="仿宋_GB2312" w:eastAsia="仿宋_GB2312" w:cs="仿宋_GB2312"/>
          <w:sz w:val="32"/>
          <w:szCs w:val="32"/>
        </w:rPr>
        <w:t>司长春市双阳区奢岭高新创业孵化基地项目新增地方政府债券资金进行综合评价，全面考察项目的预算、实施、管理、结果及影响。通过绩效评价，为加强地方政府专项债券项目资金绩效管理，提高专项债券资金使用效益，有效防范政府债务风险发挥作用。</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（二）评价对象和范围</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本次绩效评价主要内容为对</w:t>
      </w:r>
      <w:r>
        <w:rPr>
          <w:rFonts w:hint="eastAsia" w:ascii="宋体" w:hAnsi="宋体" w:eastAsia="仿宋_GB2312"/>
          <w:sz w:val="32"/>
          <w:szCs w:val="32"/>
        </w:rPr>
        <w:t>长春聚丰投资开发有限责任公</w:t>
      </w:r>
      <w:r>
        <w:rPr>
          <w:rFonts w:hint="eastAsia" w:ascii="仿宋_GB2312" w:hAnsi="仿宋_GB2312" w:eastAsia="仿宋_GB2312" w:cs="仿宋_GB2312"/>
          <w:sz w:val="32"/>
          <w:szCs w:val="32"/>
        </w:rPr>
        <w:t>司长春市双阳区奢岭高新创业孵化基地项目申请2021年地方政府专项债券资金的全年执行率、产出、效益和满意度进行综合评价。</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（三）绩效评价原则</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采用定量分析与定性分析相结合的比较法，对</w:t>
      </w:r>
      <w:r>
        <w:rPr>
          <w:rFonts w:hint="eastAsia" w:ascii="宋体" w:hAnsi="宋体" w:eastAsia="仿宋_GB2312"/>
          <w:sz w:val="32"/>
          <w:szCs w:val="32"/>
        </w:rPr>
        <w:t>长春聚丰投资开发有限责任公</w:t>
      </w:r>
      <w:r>
        <w:rPr>
          <w:rFonts w:hint="eastAsia" w:ascii="仿宋_GB2312" w:hAnsi="仿宋_GB2312" w:eastAsia="仿宋_GB2312" w:cs="仿宋_GB2312"/>
          <w:sz w:val="32"/>
          <w:szCs w:val="32"/>
        </w:rPr>
        <w:t>司长春市双阳区奢岭高新创业孵化基地项目新增地方政府债券资金绩效情况进行客观分析和评价。</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（四）评价方法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本次评价方法采用成本效益分析法、比较法、因素分析法、公众评判法。</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1、成本效益分析法，将投入与产出、效益进行关联性进行分析。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2、比较法，将实施情况与绩效目标、历史情况进行比较。</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3、因素分析法，综合分析影响绩效目标实现、实施效果的内外部因素的方法。</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、公众评判法，通过公众问卷及抽样调查等方式进行评判。</w:t>
      </w:r>
    </w:p>
    <w:p>
      <w:pPr>
        <w:pStyle w:val="2"/>
        <w:ind w:firstLine="640"/>
        <w:rPr>
          <w:b w:val="0"/>
        </w:rPr>
      </w:pPr>
      <w:r>
        <w:rPr>
          <w:rFonts w:hint="eastAsia"/>
          <w:b w:val="0"/>
        </w:rPr>
        <w:t>三、综合评价情况及评论结论</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全年执行率和一级指标权重统一设置为：全年执行率10%、产出指标60%、效益指标20%、满意度指标10%。总分由全年执行率得分和各项指标得分汇总形成。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通过本次绩效评价工作，</w:t>
      </w:r>
      <w:r>
        <w:rPr>
          <w:rFonts w:hint="eastAsia" w:ascii="宋体" w:hAnsi="宋体" w:eastAsia="仿宋_GB2312"/>
          <w:sz w:val="32"/>
          <w:szCs w:val="32"/>
        </w:rPr>
        <w:t>长春聚丰投资开发有限责任公</w:t>
      </w:r>
      <w:r>
        <w:rPr>
          <w:rFonts w:hint="eastAsia" w:ascii="仿宋_GB2312" w:hAnsi="仿宋_GB2312" w:eastAsia="仿宋_GB2312" w:cs="仿宋_GB2312"/>
          <w:sz w:val="32"/>
          <w:szCs w:val="32"/>
        </w:rPr>
        <w:t>司长春市双阳区奢岭高新创业孵化基地项目新增地方政府专项债券资金绩效评价最终得分</w:t>
      </w:r>
      <w:r>
        <w:rPr>
          <w:rFonts w:ascii="仿宋_GB2312" w:hAnsi="仿宋_GB2312" w:eastAsia="仿宋_GB2312" w:cs="仿宋_GB2312"/>
          <w:sz w:val="32"/>
          <w:szCs w:val="32"/>
        </w:rPr>
        <w:t>71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76</w:t>
      </w:r>
      <w:r>
        <w:rPr>
          <w:rFonts w:hint="eastAsia" w:ascii="仿宋_GB2312" w:hAnsi="仿宋_GB2312" w:eastAsia="仿宋_GB2312" w:cs="仿宋_GB2312"/>
          <w:sz w:val="32"/>
          <w:szCs w:val="32"/>
        </w:rPr>
        <w:t>分。</w:t>
      </w:r>
    </w:p>
    <w:p>
      <w:pPr>
        <w:ind w:firstLine="64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绩效评价得分汇总表</w:t>
      </w:r>
    </w:p>
    <w:tbl>
      <w:tblPr>
        <w:tblStyle w:val="10"/>
        <w:tblW w:w="8354" w:type="dxa"/>
        <w:tblInd w:w="118" w:type="dxa"/>
        <w:tblLayout w:type="autofit"/>
        <w:tblCellMar>
          <w:top w:w="0" w:type="dxa"/>
          <w:left w:w="108" w:type="dxa"/>
          <w:bottom w:w="0" w:type="dxa"/>
          <w:right w:w="108" w:type="dxa"/>
        </w:tblCellMar>
      </w:tblPr>
      <w:tblGrid>
        <w:gridCol w:w="1392"/>
        <w:gridCol w:w="1392"/>
        <w:gridCol w:w="1393"/>
        <w:gridCol w:w="1392"/>
        <w:gridCol w:w="1392"/>
        <w:gridCol w:w="1393"/>
      </w:tblGrid>
      <w:tr>
        <w:tblPrEx>
          <w:tblCellMar>
            <w:top w:w="0" w:type="dxa"/>
            <w:left w:w="108" w:type="dxa"/>
            <w:bottom w:w="0" w:type="dxa"/>
            <w:right w:w="108" w:type="dxa"/>
          </w:tblCellMar>
        </w:tblPrEx>
        <w:trPr>
          <w:trHeight w:val="525" w:hRule="atLeast"/>
        </w:trPr>
        <w:tc>
          <w:tcPr>
            <w:tcW w:w="139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指标类别</w:t>
            </w:r>
          </w:p>
        </w:tc>
        <w:tc>
          <w:tcPr>
            <w:tcW w:w="13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全年执行率</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产出</w:t>
            </w:r>
          </w:p>
        </w:tc>
        <w:tc>
          <w:tcPr>
            <w:tcW w:w="13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效益</w:t>
            </w:r>
          </w:p>
        </w:tc>
        <w:tc>
          <w:tcPr>
            <w:tcW w:w="1392"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满意度</w:t>
            </w:r>
          </w:p>
        </w:tc>
        <w:tc>
          <w:tcPr>
            <w:tcW w:w="1393"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合计</w:t>
            </w:r>
          </w:p>
        </w:tc>
      </w:tr>
      <w:tr>
        <w:tblPrEx>
          <w:tblCellMar>
            <w:top w:w="0" w:type="dxa"/>
            <w:left w:w="108" w:type="dxa"/>
            <w:bottom w:w="0" w:type="dxa"/>
            <w:right w:w="108" w:type="dxa"/>
          </w:tblCellMar>
        </w:tblPrEx>
        <w:trPr>
          <w:trHeight w:val="285" w:hRule="atLeast"/>
        </w:trPr>
        <w:tc>
          <w:tcPr>
            <w:tcW w:w="139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权重</w:t>
            </w:r>
          </w:p>
        </w:tc>
        <w:tc>
          <w:tcPr>
            <w:tcW w:w="1392" w:type="dxa"/>
            <w:tcBorders>
              <w:top w:val="nil"/>
              <w:left w:val="nil"/>
              <w:bottom w:val="single" w:color="000000" w:sz="8" w:space="0"/>
              <w:right w:val="single" w:color="000000" w:sz="8" w:space="0"/>
            </w:tcBorders>
            <w:shd w:val="clear" w:color="auto" w:fill="auto"/>
            <w:vAlign w:val="center"/>
          </w:tcPr>
          <w:p>
            <w:pPr>
              <w:widowControl/>
              <w:jc w:val="center"/>
              <w:rPr>
                <w:rFonts w:ascii="Arial Narrow" w:hAnsi="Arial Narrow" w:cs="Times New Roman"/>
                <w:color w:val="000000"/>
                <w:kern w:val="0"/>
                <w:szCs w:val="21"/>
              </w:rPr>
            </w:pPr>
            <w:r>
              <w:rPr>
                <w:rFonts w:ascii="Arial Narrow" w:hAnsi="Arial Narrow" w:cs="Times New Roman"/>
                <w:color w:val="000000"/>
                <w:szCs w:val="21"/>
              </w:rPr>
              <w:t>10.00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60.00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20.00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100.00</w:t>
            </w:r>
          </w:p>
        </w:tc>
      </w:tr>
      <w:tr>
        <w:tblPrEx>
          <w:tblCellMar>
            <w:top w:w="0" w:type="dxa"/>
            <w:left w:w="108" w:type="dxa"/>
            <w:bottom w:w="0" w:type="dxa"/>
            <w:right w:w="108" w:type="dxa"/>
          </w:tblCellMar>
        </w:tblPrEx>
        <w:trPr>
          <w:trHeight w:val="285" w:hRule="atLeast"/>
        </w:trPr>
        <w:tc>
          <w:tcPr>
            <w:tcW w:w="139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得分</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6.13</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41.63</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14.00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71.76</w:t>
            </w:r>
          </w:p>
        </w:tc>
      </w:tr>
      <w:tr>
        <w:tblPrEx>
          <w:tblCellMar>
            <w:top w:w="0" w:type="dxa"/>
            <w:left w:w="108" w:type="dxa"/>
            <w:bottom w:w="0" w:type="dxa"/>
            <w:right w:w="108" w:type="dxa"/>
          </w:tblCellMar>
        </w:tblPrEx>
        <w:trPr>
          <w:trHeight w:val="285" w:hRule="atLeast"/>
        </w:trPr>
        <w:tc>
          <w:tcPr>
            <w:tcW w:w="139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ascii="仿宋" w:hAnsi="仿宋" w:eastAsia="仿宋" w:cs="宋体"/>
                <w:bCs/>
                <w:color w:val="000000"/>
                <w:kern w:val="0"/>
                <w:szCs w:val="21"/>
              </w:rPr>
            </w:pPr>
            <w:r>
              <w:rPr>
                <w:rFonts w:hint="eastAsia" w:ascii="仿宋" w:hAnsi="仿宋" w:eastAsia="仿宋" w:cs="宋体"/>
                <w:bCs/>
                <w:color w:val="000000"/>
                <w:kern w:val="0"/>
                <w:szCs w:val="21"/>
              </w:rPr>
              <w:t>得分率</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61.30%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69.38%</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70.00%</w:t>
            </w:r>
          </w:p>
        </w:tc>
        <w:tc>
          <w:tcPr>
            <w:tcW w:w="1392"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100.00%</w:t>
            </w:r>
          </w:p>
        </w:tc>
        <w:tc>
          <w:tcPr>
            <w:tcW w:w="1393" w:type="dxa"/>
            <w:tcBorders>
              <w:top w:val="nil"/>
              <w:left w:val="nil"/>
              <w:bottom w:val="single" w:color="000000" w:sz="8" w:space="0"/>
              <w:right w:val="single" w:color="000000" w:sz="8" w:space="0"/>
            </w:tcBorders>
            <w:shd w:val="clear" w:color="auto" w:fill="auto"/>
            <w:vAlign w:val="center"/>
          </w:tcPr>
          <w:p>
            <w:pPr>
              <w:jc w:val="center"/>
              <w:rPr>
                <w:rFonts w:ascii="Arial Narrow" w:hAnsi="Arial Narrow" w:cs="Times New Roman"/>
                <w:color w:val="000000"/>
                <w:szCs w:val="21"/>
              </w:rPr>
            </w:pPr>
            <w:r>
              <w:rPr>
                <w:rFonts w:ascii="Arial Narrow" w:hAnsi="Arial Narrow" w:cs="Times New Roman"/>
                <w:color w:val="000000"/>
                <w:szCs w:val="21"/>
              </w:rPr>
              <w:t>71.76%</w:t>
            </w:r>
          </w:p>
        </w:tc>
      </w:tr>
    </w:tbl>
    <w:p>
      <w:pPr>
        <w:pStyle w:val="2"/>
        <w:ind w:firstLine="640"/>
        <w:rPr>
          <w:b w:val="0"/>
        </w:rPr>
      </w:pPr>
      <w:r>
        <w:rPr>
          <w:rFonts w:hint="eastAsia"/>
          <w:b w:val="0"/>
        </w:rPr>
        <w:t>四、绩效评价指标分析</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（一）全年执行率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021</w:t>
      </w:r>
      <w:r>
        <w:rPr>
          <w:rFonts w:hint="eastAsia" w:ascii="仿宋_GB2312" w:hAnsi="仿宋_GB2312" w:eastAsia="仿宋_GB2312" w:cs="仿宋_GB2312"/>
          <w:sz w:val="32"/>
          <w:szCs w:val="32"/>
        </w:rPr>
        <w:t>年计划投资规模4</w:t>
      </w:r>
      <w:r>
        <w:rPr>
          <w:rFonts w:ascii="仿宋_GB2312" w:hAnsi="仿宋_GB2312" w:eastAsia="仿宋_GB2312" w:cs="仿宋_GB2312"/>
          <w:sz w:val="32"/>
          <w:szCs w:val="32"/>
        </w:rPr>
        <w:t>6,486.14</w:t>
      </w:r>
      <w:r>
        <w:rPr>
          <w:rFonts w:hint="eastAsia" w:ascii="仿宋_GB2312" w:hAnsi="仿宋_GB2312" w:eastAsia="仿宋_GB2312" w:cs="仿宋_GB2312"/>
          <w:sz w:val="32"/>
          <w:szCs w:val="32"/>
        </w:rPr>
        <w:t>万元，全年执行数2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488</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0万元，全年执行率</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%。该指标满分10分，得分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13</w:t>
      </w:r>
      <w:r>
        <w:rPr>
          <w:rFonts w:hint="eastAsia" w:ascii="仿宋_GB2312" w:hAnsi="仿宋_GB2312" w:eastAsia="仿宋_GB2312" w:cs="仿宋_GB2312"/>
          <w:sz w:val="32"/>
          <w:szCs w:val="32"/>
        </w:rPr>
        <w:t>分。</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（二）产出指标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产出指标包括数量、质量、时效和成本四个二级指标，满分为</w:t>
      </w:r>
      <w:r>
        <w:rPr>
          <w:rFonts w:ascii="宋体" w:hAnsi="宋体" w:eastAsia="仿宋_GB2312"/>
          <w:color w:val="000000"/>
          <w:sz w:val="32"/>
          <w:szCs w:val="32"/>
        </w:rPr>
        <w:t>60</w:t>
      </w:r>
      <w:r>
        <w:rPr>
          <w:rFonts w:hint="eastAsia" w:ascii="宋体" w:hAnsi="宋体" w:eastAsia="仿宋_GB2312"/>
          <w:color w:val="000000"/>
          <w:sz w:val="32"/>
          <w:szCs w:val="32"/>
        </w:rPr>
        <w:t>分，得分为</w:t>
      </w:r>
      <w:r>
        <w:rPr>
          <w:rFonts w:ascii="宋体" w:hAnsi="宋体" w:eastAsia="仿宋_GB2312"/>
          <w:color w:val="000000"/>
          <w:sz w:val="32"/>
          <w:szCs w:val="32"/>
        </w:rPr>
        <w:t>41.63</w:t>
      </w:r>
      <w:r>
        <w:rPr>
          <w:rFonts w:hint="eastAsia" w:ascii="宋体" w:hAnsi="宋体" w:eastAsia="仿宋_GB2312"/>
          <w:color w:val="000000"/>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数量指标满分18分，得分14.</w:t>
      </w:r>
      <w:r>
        <w:rPr>
          <w:rFonts w:ascii="仿宋_GB2312" w:hAnsi="仿宋_GB2312" w:eastAsia="仿宋_GB2312" w:cs="仿宋_GB2312"/>
          <w:sz w:val="32"/>
          <w:szCs w:val="32"/>
        </w:rPr>
        <w:t>80</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2021年计划完成主体工程结构建设和七条市政道路的部分工程，实际建设内容为南地块完成四层顶梁板混凝土浇筑等建设内容；北地块完成2层顶梁板、柱混凝土浇筑建设，按计划完成进度为60%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2、质量指标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数量指标满分1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14</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3、时效指标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时效指标满分1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8.28</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偏差原因分析及改进措施：项目计划于2022年12月竣工，截至2021年底项目按期完工度为60%。</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4、成本指标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成本指标满分1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4.55</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偏差原因分析及改进措施：项目正在建设中，尚未完工，未发生设备购置支出。</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（三）效益指标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效益指标包括经济效益、社会效益、生态效益和可持续影响四个二级指标，满分20分，得分1</w:t>
      </w:r>
      <w:r>
        <w:rPr>
          <w:rFonts w:ascii="宋体" w:hAnsi="宋体" w:eastAsia="仿宋_GB2312"/>
          <w:color w:val="000000"/>
          <w:sz w:val="32"/>
          <w:szCs w:val="32"/>
        </w:rPr>
        <w:t>4</w:t>
      </w:r>
      <w:r>
        <w:rPr>
          <w:rFonts w:hint="eastAsia" w:ascii="宋体" w:hAnsi="宋体" w:eastAsia="仿宋_GB2312"/>
          <w:color w:val="000000"/>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1、经济效益指标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经济效益指标满分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分，得分0分。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偏差原因分析及改进措施：项目正在建设尚未竣工运营，尚未发挥经济效益。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宋体" w:hAnsi="宋体" w:eastAsia="仿宋_GB2312"/>
          <w:color w:val="000000"/>
          <w:sz w:val="32"/>
          <w:szCs w:val="32"/>
        </w:rPr>
        <w:t>社会效益指标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社会效益</w:t>
      </w:r>
      <w:r>
        <w:rPr>
          <w:rFonts w:hint="eastAsia" w:ascii="仿宋_GB2312" w:hAnsi="仿宋_GB2312" w:eastAsia="仿宋_GB2312" w:cs="仿宋_GB2312"/>
          <w:sz w:val="32"/>
          <w:szCs w:val="32"/>
        </w:rPr>
        <w:t>指标满分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hint="eastAsia" w:ascii="宋体" w:hAnsi="宋体" w:eastAsia="仿宋_GB2312"/>
          <w:color w:val="000000"/>
          <w:sz w:val="32"/>
          <w:szCs w:val="32"/>
        </w:rPr>
        <w:t>生态效益指标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生态效益指标</w:t>
      </w:r>
      <w:r>
        <w:rPr>
          <w:rFonts w:hint="eastAsia" w:ascii="仿宋_GB2312" w:hAnsi="仿宋_GB2312" w:eastAsia="仿宋_GB2312" w:cs="仿宋_GB2312"/>
          <w:sz w:val="32"/>
          <w:szCs w:val="32"/>
        </w:rPr>
        <w:t>满分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分，得分</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宋体" w:hAnsi="宋体" w:eastAsia="仿宋_GB2312"/>
          <w:color w:val="000000"/>
          <w:sz w:val="32"/>
          <w:szCs w:val="32"/>
        </w:rPr>
        <w:t>可持续影响指标</w:t>
      </w:r>
    </w:p>
    <w:p>
      <w:pPr>
        <w:ind w:firstLine="640" w:firstLineChars="200"/>
        <w:rPr>
          <w:rFonts w:ascii="仿宋_GB2312" w:hAnsi="仿宋_GB2312" w:eastAsia="仿宋_GB2312" w:cs="仿宋_GB2312"/>
          <w:sz w:val="32"/>
          <w:szCs w:val="32"/>
        </w:rPr>
      </w:pPr>
      <w:r>
        <w:rPr>
          <w:rFonts w:hint="eastAsia" w:ascii="宋体" w:hAnsi="宋体" w:eastAsia="仿宋_GB2312"/>
          <w:color w:val="000000"/>
          <w:sz w:val="32"/>
          <w:szCs w:val="32"/>
        </w:rPr>
        <w:t>可持续影响指标</w:t>
      </w:r>
      <w:r>
        <w:rPr>
          <w:rFonts w:hint="eastAsia" w:ascii="仿宋_GB2312" w:hAnsi="仿宋_GB2312" w:eastAsia="仿宋_GB2312" w:cs="仿宋_GB2312"/>
          <w:sz w:val="32"/>
          <w:szCs w:val="32"/>
        </w:rPr>
        <w:t>满分2分，得分</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分。</w:t>
      </w:r>
    </w:p>
    <w:p>
      <w:pPr>
        <w:pStyle w:val="3"/>
        <w:ind w:firstLine="640"/>
        <w:rPr>
          <w:rFonts w:ascii="仿宋_GB2312" w:hAnsi="仿宋_GB2312" w:eastAsia="仿宋_GB2312" w:cs="仿宋_GB2312"/>
          <w:b w:val="0"/>
          <w:bCs w:val="0"/>
        </w:rPr>
      </w:pPr>
      <w:r>
        <w:rPr>
          <w:rFonts w:hint="eastAsia" w:ascii="仿宋_GB2312" w:hAnsi="仿宋_GB2312" w:eastAsia="仿宋_GB2312" w:cs="仿宋_GB2312"/>
          <w:b w:val="0"/>
          <w:bCs w:val="0"/>
        </w:rPr>
        <w:t>（四）满意度指标</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满意度指标满分10分，得分10分。</w:t>
      </w:r>
    </w:p>
    <w:p>
      <w:pPr>
        <w:pStyle w:val="2"/>
        <w:ind w:firstLine="640"/>
        <w:rPr>
          <w:b w:val="0"/>
        </w:rPr>
      </w:pPr>
      <w:r>
        <w:rPr>
          <w:rFonts w:hint="eastAsia"/>
          <w:b w:val="0"/>
        </w:rPr>
        <w:t>五、主要成效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项目单位</w:t>
      </w:r>
      <w:r>
        <w:rPr>
          <w:rFonts w:hint="eastAsia" w:ascii="宋体" w:hAnsi="宋体" w:eastAsia="仿宋_GB2312"/>
          <w:color w:val="000000"/>
          <w:sz w:val="32"/>
          <w:szCs w:val="32"/>
        </w:rPr>
        <w:t>组织机构健全、职责分工明确，制定了</w:t>
      </w:r>
      <w:r>
        <w:rPr>
          <w:rFonts w:hint="eastAsia" w:ascii="仿宋_GB2312" w:hAnsi="仿宋_GB2312" w:eastAsia="仿宋_GB2312" w:cs="仿宋_GB2312"/>
          <w:sz w:val="32"/>
          <w:szCs w:val="32"/>
        </w:rPr>
        <w:t>债券资金管理制度及</w:t>
      </w:r>
      <w:r>
        <w:rPr>
          <w:rFonts w:hint="eastAsia" w:ascii="宋体" w:hAnsi="宋体" w:eastAsia="仿宋_GB2312"/>
          <w:color w:val="000000"/>
          <w:sz w:val="32"/>
          <w:szCs w:val="32"/>
        </w:rPr>
        <w:t>各项业务流程管理制度，</w:t>
      </w:r>
      <w:r>
        <w:rPr>
          <w:rFonts w:hint="eastAsia" w:ascii="仿宋_GB2312" w:hAnsi="仿宋_GB2312" w:eastAsia="仿宋_GB2312" w:cs="仿宋_GB2312"/>
          <w:sz w:val="32"/>
          <w:szCs w:val="32"/>
        </w:rPr>
        <w:t>制定了专项债券资金使用计划并按</w:t>
      </w:r>
      <w:r>
        <w:rPr>
          <w:rFonts w:hint="eastAsia" w:ascii="宋体" w:hAnsi="宋体" w:eastAsia="仿宋_GB2312"/>
          <w:color w:val="000000"/>
          <w:sz w:val="32"/>
          <w:szCs w:val="32"/>
        </w:rPr>
        <w:t>严格按照专项债券资金专户管理办法进行债券资金拨付</w:t>
      </w:r>
      <w:r>
        <w:rPr>
          <w:rFonts w:hint="eastAsia" w:ascii="仿宋_GB2312" w:hAnsi="仿宋_GB2312" w:eastAsia="仿宋_GB2312" w:cs="仿宋_GB2312"/>
          <w:sz w:val="32"/>
          <w:szCs w:val="32"/>
        </w:rPr>
        <w:t>。</w:t>
      </w:r>
    </w:p>
    <w:p>
      <w:pPr>
        <w:ind w:firstLine="640" w:firstLineChars="200"/>
        <w:rPr>
          <w:rFonts w:ascii="仿宋_GB2312" w:hAnsi="宋体" w:eastAsia="仿宋_GB2312"/>
          <w:color w:val="000000"/>
          <w:sz w:val="32"/>
          <w:szCs w:val="32"/>
        </w:rPr>
      </w:pPr>
      <w:r>
        <w:rPr>
          <w:rFonts w:ascii="仿宋_GB2312" w:hAnsi="宋体" w:eastAsia="仿宋_GB2312"/>
          <w:color w:val="000000"/>
          <w:sz w:val="32"/>
          <w:szCs w:val="32"/>
        </w:rPr>
        <w:t>工程建设包括</w:t>
      </w:r>
      <w:r>
        <w:rPr>
          <w:rFonts w:hint="eastAsia" w:ascii="仿宋_GB2312" w:hAnsi="宋体" w:eastAsia="仿宋_GB2312"/>
          <w:color w:val="000000"/>
          <w:sz w:val="32"/>
          <w:szCs w:val="32"/>
        </w:rPr>
        <w:t>高新创业孵化和市政</w:t>
      </w:r>
      <w:r>
        <w:rPr>
          <w:rFonts w:ascii="仿宋_GB2312" w:hAnsi="宋体" w:eastAsia="仿宋_GB2312"/>
          <w:color w:val="000000"/>
          <w:sz w:val="32"/>
          <w:szCs w:val="32"/>
        </w:rPr>
        <w:t>道路工程，在很大程度上满足了当地人们的</w:t>
      </w:r>
      <w:r>
        <w:rPr>
          <w:rFonts w:hint="eastAsia" w:ascii="仿宋_GB2312" w:hAnsi="宋体" w:eastAsia="仿宋_GB2312"/>
          <w:color w:val="000000"/>
          <w:sz w:val="32"/>
          <w:szCs w:val="32"/>
        </w:rPr>
        <w:t>创新创业和</w:t>
      </w:r>
      <w:r>
        <w:rPr>
          <w:rFonts w:ascii="仿宋_GB2312" w:hAnsi="宋体" w:eastAsia="仿宋_GB2312"/>
          <w:color w:val="000000"/>
          <w:sz w:val="32"/>
          <w:szCs w:val="32"/>
        </w:rPr>
        <w:t>生活需要，大大提高了当地人们的生活质量，</w:t>
      </w:r>
      <w:r>
        <w:rPr>
          <w:rFonts w:ascii="仿宋_GB2312" w:hAnsi="仿宋_GB2312" w:eastAsia="仿宋_GB2312" w:cs="仿宋_GB2312"/>
          <w:sz w:val="32"/>
          <w:szCs w:val="32"/>
        </w:rPr>
        <w:t>孵化器价值主要表现为它大大提高了新办小企业的成功率、创造了就业机会</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基地将通过制定各项创业优惠政策，吸引创业人员的入驻</w:t>
      </w:r>
      <w:r>
        <w:rPr>
          <w:rFonts w:hint="eastAsia" w:ascii="仿宋_GB2312" w:hAnsi="宋体" w:eastAsia="仿宋_GB2312"/>
          <w:color w:val="000000"/>
          <w:sz w:val="32"/>
          <w:szCs w:val="32"/>
        </w:rPr>
        <w:t>，</w:t>
      </w:r>
      <w:r>
        <w:rPr>
          <w:rFonts w:ascii="仿宋_GB2312" w:hAnsi="宋体" w:eastAsia="仿宋_GB2312"/>
          <w:color w:val="000000"/>
          <w:sz w:val="32"/>
          <w:szCs w:val="32"/>
        </w:rPr>
        <w:t>极大的推动了当地各项事业的发展。</w:t>
      </w:r>
    </w:p>
    <w:p>
      <w:pPr>
        <w:pStyle w:val="2"/>
        <w:ind w:firstLine="640"/>
        <w:rPr>
          <w:b w:val="0"/>
        </w:rPr>
      </w:pPr>
    </w:p>
    <w:p/>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附件：长春市双阳区奢岭高新创业孵化基地</w:t>
      </w:r>
      <w:bookmarkStart w:id="0" w:name="_GoBack"/>
      <w:bookmarkEnd w:id="0"/>
      <w:r>
        <w:rPr>
          <w:rFonts w:hint="eastAsia" w:ascii="仿宋_GB2312" w:hAnsi="仿宋_GB2312" w:eastAsia="仿宋_GB2312" w:cs="仿宋_GB2312"/>
          <w:sz w:val="32"/>
          <w:szCs w:val="32"/>
        </w:rPr>
        <w:t>绩效自评表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swiss"/>
    <w:pitch w:val="default"/>
    <w:sig w:usb0="00000000" w:usb1="00000000" w:usb2="00000000" w:usb3="00000000" w:csb0="000000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iNjg1YWJiZTUyNDY2YTI4ZWFlZGM3MzhjMTg3NGYifQ=="/>
  </w:docVars>
  <w:rsids>
    <w:rsidRoot w:val="00500587"/>
    <w:rsid w:val="000035D6"/>
    <w:rsid w:val="000539C1"/>
    <w:rsid w:val="00053FB4"/>
    <w:rsid w:val="00070494"/>
    <w:rsid w:val="000737B0"/>
    <w:rsid w:val="000966AB"/>
    <w:rsid w:val="000A47D4"/>
    <w:rsid w:val="000D62CD"/>
    <w:rsid w:val="00124B30"/>
    <w:rsid w:val="001419DF"/>
    <w:rsid w:val="001B0173"/>
    <w:rsid w:val="001D552A"/>
    <w:rsid w:val="001F1ADD"/>
    <w:rsid w:val="00223444"/>
    <w:rsid w:val="00293507"/>
    <w:rsid w:val="002A2133"/>
    <w:rsid w:val="003116EA"/>
    <w:rsid w:val="00330D73"/>
    <w:rsid w:val="003731B3"/>
    <w:rsid w:val="00387301"/>
    <w:rsid w:val="003C1A3F"/>
    <w:rsid w:val="0040084D"/>
    <w:rsid w:val="0042518B"/>
    <w:rsid w:val="00450471"/>
    <w:rsid w:val="004558F9"/>
    <w:rsid w:val="00496724"/>
    <w:rsid w:val="004C3699"/>
    <w:rsid w:val="00500587"/>
    <w:rsid w:val="0051214D"/>
    <w:rsid w:val="005B2F45"/>
    <w:rsid w:val="005B54C6"/>
    <w:rsid w:val="005C2A02"/>
    <w:rsid w:val="005F01BC"/>
    <w:rsid w:val="005F24C7"/>
    <w:rsid w:val="00631220"/>
    <w:rsid w:val="00643203"/>
    <w:rsid w:val="00643860"/>
    <w:rsid w:val="006739BD"/>
    <w:rsid w:val="007475BB"/>
    <w:rsid w:val="0079078D"/>
    <w:rsid w:val="00797732"/>
    <w:rsid w:val="007A0FBD"/>
    <w:rsid w:val="007F18AC"/>
    <w:rsid w:val="00871164"/>
    <w:rsid w:val="00872DEF"/>
    <w:rsid w:val="0087324B"/>
    <w:rsid w:val="00883B1A"/>
    <w:rsid w:val="00896590"/>
    <w:rsid w:val="00906B8F"/>
    <w:rsid w:val="00914F1B"/>
    <w:rsid w:val="00916E89"/>
    <w:rsid w:val="00986DDD"/>
    <w:rsid w:val="009D0CA4"/>
    <w:rsid w:val="009E1C8C"/>
    <w:rsid w:val="009F067F"/>
    <w:rsid w:val="00A642B5"/>
    <w:rsid w:val="00AB7A35"/>
    <w:rsid w:val="00AD3F4B"/>
    <w:rsid w:val="00B61677"/>
    <w:rsid w:val="00BB10AF"/>
    <w:rsid w:val="00BB40DC"/>
    <w:rsid w:val="00BC212B"/>
    <w:rsid w:val="00BD0C6A"/>
    <w:rsid w:val="00BF5546"/>
    <w:rsid w:val="00C729BB"/>
    <w:rsid w:val="00C75315"/>
    <w:rsid w:val="00C86B4F"/>
    <w:rsid w:val="00CC786B"/>
    <w:rsid w:val="00D00D08"/>
    <w:rsid w:val="00D1792D"/>
    <w:rsid w:val="00D3174A"/>
    <w:rsid w:val="00D62F51"/>
    <w:rsid w:val="00DB25E6"/>
    <w:rsid w:val="00DB5379"/>
    <w:rsid w:val="00DB7309"/>
    <w:rsid w:val="00DE7C39"/>
    <w:rsid w:val="00DF6E07"/>
    <w:rsid w:val="00E0078A"/>
    <w:rsid w:val="00E26B7F"/>
    <w:rsid w:val="00E30DEB"/>
    <w:rsid w:val="00E431E0"/>
    <w:rsid w:val="00F449ED"/>
    <w:rsid w:val="00F907B5"/>
    <w:rsid w:val="00F95DE2"/>
    <w:rsid w:val="00FD2BAC"/>
    <w:rsid w:val="022C3579"/>
    <w:rsid w:val="0888565B"/>
    <w:rsid w:val="11871CF0"/>
    <w:rsid w:val="3E8F0BBD"/>
    <w:rsid w:val="43A70133"/>
    <w:rsid w:val="472C6247"/>
    <w:rsid w:val="64E233A1"/>
    <w:rsid w:val="669259E8"/>
    <w:rsid w:val="6AAA3AEF"/>
    <w:rsid w:val="6C030E4B"/>
    <w:rsid w:val="796C5CB8"/>
    <w:rsid w:val="7A39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0"/>
    <w:pPr>
      <w:keepNext/>
      <w:keepLines/>
      <w:ind w:firstLine="200" w:firstLineChars="200"/>
      <w:outlineLvl w:val="0"/>
    </w:pPr>
    <w:rPr>
      <w:rFonts w:eastAsia="黑体"/>
      <w:b/>
      <w:bCs/>
      <w:kern w:val="44"/>
      <w:sz w:val="32"/>
      <w:szCs w:val="44"/>
    </w:rPr>
  </w:style>
  <w:style w:type="paragraph" w:styleId="3">
    <w:name w:val="heading 2"/>
    <w:basedOn w:val="1"/>
    <w:next w:val="1"/>
    <w:link w:val="18"/>
    <w:unhideWhenUsed/>
    <w:qFormat/>
    <w:uiPriority w:val="0"/>
    <w:pPr>
      <w:keepNext/>
      <w:keepLines/>
      <w:ind w:firstLine="200" w:firstLineChars="200"/>
      <w:outlineLvl w:val="1"/>
    </w:pPr>
    <w:rPr>
      <w:rFonts w:eastAsia="仿宋" w:asciiTheme="majorHAnsi" w:hAnsiTheme="majorHAnsi" w:cstheme="majorBidi"/>
      <w:b/>
      <w:bCs/>
      <w:sz w:val="32"/>
      <w:szCs w:val="32"/>
    </w:rPr>
  </w:style>
  <w:style w:type="paragraph" w:styleId="4">
    <w:name w:val="heading 3"/>
    <w:basedOn w:val="1"/>
    <w:next w:val="1"/>
    <w:link w:val="14"/>
    <w:unhideWhenUsed/>
    <w:qFormat/>
    <w:uiPriority w:val="9"/>
    <w:pPr>
      <w:keepNext/>
      <w:keepLines/>
      <w:ind w:firstLine="200" w:firstLineChars="200"/>
      <w:outlineLvl w:val="2"/>
    </w:pPr>
    <w:rPr>
      <w:bCs/>
      <w:sz w:val="32"/>
      <w:szCs w:val="32"/>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15"/>
    <w:unhideWhenUsed/>
    <w:qFormat/>
    <w:uiPriority w:val="99"/>
    <w:pPr>
      <w:jc w:val="left"/>
    </w:pPr>
    <w:rPr>
      <w:szCs w:val="22"/>
    </w:rPr>
  </w:style>
  <w:style w:type="paragraph" w:styleId="6">
    <w:name w:val="Balloon Text"/>
    <w:basedOn w:val="1"/>
    <w:link w:val="16"/>
    <w:uiPriority w:val="0"/>
    <w:rPr>
      <w:sz w:val="18"/>
      <w:szCs w:val="18"/>
    </w:rPr>
  </w:style>
  <w:style w:type="paragraph" w:styleId="7">
    <w:name w:val="footer"/>
    <w:basedOn w:val="1"/>
    <w:link w:val="20"/>
    <w:qFormat/>
    <w:uiPriority w:val="0"/>
    <w:pPr>
      <w:tabs>
        <w:tab w:val="center" w:pos="4153"/>
        <w:tab w:val="right" w:pos="8306"/>
      </w:tabs>
      <w:snapToGrid w:val="0"/>
      <w:jc w:val="left"/>
    </w:pPr>
    <w:rPr>
      <w:sz w:val="18"/>
      <w:szCs w:val="18"/>
    </w:rPr>
  </w:style>
  <w:style w:type="paragraph" w:styleId="8">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2">
    <w:name w:val="annotation reference"/>
    <w:basedOn w:val="11"/>
    <w:unhideWhenUsed/>
    <w:uiPriority w:val="99"/>
    <w:rPr>
      <w:sz w:val="21"/>
      <w:szCs w:val="21"/>
    </w:rPr>
  </w:style>
  <w:style w:type="paragraph" w:styleId="13">
    <w:name w:val="List Paragraph"/>
    <w:basedOn w:val="1"/>
    <w:uiPriority w:val="99"/>
    <w:pPr>
      <w:ind w:firstLine="420" w:firstLineChars="200"/>
    </w:pPr>
  </w:style>
  <w:style w:type="character" w:customStyle="1" w:styleId="14">
    <w:name w:val="标题 3 字符"/>
    <w:basedOn w:val="11"/>
    <w:link w:val="4"/>
    <w:qFormat/>
    <w:uiPriority w:val="9"/>
    <w:rPr>
      <w:bCs/>
      <w:kern w:val="2"/>
      <w:sz w:val="32"/>
      <w:szCs w:val="32"/>
    </w:rPr>
  </w:style>
  <w:style w:type="character" w:customStyle="1" w:styleId="15">
    <w:name w:val="批注文字 字符"/>
    <w:basedOn w:val="11"/>
    <w:link w:val="5"/>
    <w:uiPriority w:val="99"/>
    <w:rPr>
      <w:kern w:val="2"/>
      <w:sz w:val="21"/>
      <w:szCs w:val="22"/>
    </w:rPr>
  </w:style>
  <w:style w:type="character" w:customStyle="1" w:styleId="16">
    <w:name w:val="批注框文本 字符"/>
    <w:basedOn w:val="11"/>
    <w:link w:val="6"/>
    <w:uiPriority w:val="0"/>
    <w:rPr>
      <w:kern w:val="2"/>
      <w:sz w:val="18"/>
      <w:szCs w:val="18"/>
    </w:rPr>
  </w:style>
  <w:style w:type="character" w:customStyle="1" w:styleId="17">
    <w:name w:val="标题 1 字符"/>
    <w:basedOn w:val="11"/>
    <w:link w:val="2"/>
    <w:uiPriority w:val="0"/>
    <w:rPr>
      <w:rFonts w:eastAsia="黑体"/>
      <w:b/>
      <w:bCs/>
      <w:kern w:val="44"/>
      <w:sz w:val="32"/>
      <w:szCs w:val="44"/>
    </w:rPr>
  </w:style>
  <w:style w:type="character" w:customStyle="1" w:styleId="18">
    <w:name w:val="标题 2 字符"/>
    <w:basedOn w:val="11"/>
    <w:link w:val="3"/>
    <w:uiPriority w:val="0"/>
    <w:rPr>
      <w:rFonts w:eastAsia="仿宋" w:asciiTheme="majorHAnsi" w:hAnsiTheme="majorHAnsi" w:cstheme="majorBidi"/>
      <w:b/>
      <w:bCs/>
      <w:kern w:val="2"/>
      <w:sz w:val="32"/>
      <w:szCs w:val="32"/>
    </w:rPr>
  </w:style>
  <w:style w:type="character" w:customStyle="1" w:styleId="19">
    <w:name w:val="页眉 字符"/>
    <w:basedOn w:val="11"/>
    <w:link w:val="8"/>
    <w:uiPriority w:val="0"/>
    <w:rPr>
      <w:kern w:val="2"/>
      <w:sz w:val="18"/>
      <w:szCs w:val="18"/>
    </w:rPr>
  </w:style>
  <w:style w:type="character" w:customStyle="1" w:styleId="20">
    <w:name w:val="页脚 字符"/>
    <w:basedOn w:val="11"/>
    <w:link w:val="7"/>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3208</Words>
  <Characters>3490</Characters>
  <Lines>25</Lines>
  <Paragraphs>7</Paragraphs>
  <TotalTime>1361</TotalTime>
  <ScaleCrop>false</ScaleCrop>
  <LinksUpToDate>false</LinksUpToDate>
  <CharactersWithSpaces>3491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李小多</cp:lastModifiedBy>
  <dcterms:modified xsi:type="dcterms:W3CDTF">2022-06-28T03:41:06Z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ABF97A9FE98449ADADAB94888751CACE</vt:lpwstr>
  </property>
</Properties>
</file>