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BDC" w:rsidRDefault="00A87BDC"/>
    <w:p w:rsidR="00A87BDC" w:rsidRDefault="00A87BDC"/>
    <w:p w:rsidR="00A87BDC" w:rsidRDefault="00A87BDC"/>
    <w:p w:rsidR="00A87BDC" w:rsidRDefault="00A87BDC"/>
    <w:p w:rsidR="00A87BDC" w:rsidRDefault="00A87BDC"/>
    <w:p w:rsidR="00A87BDC" w:rsidRDefault="00A87BDC"/>
    <w:p w:rsidR="00A87BDC" w:rsidRDefault="00A87BDC"/>
    <w:p w:rsidR="00A87BDC" w:rsidRDefault="00A87BDC"/>
    <w:p w:rsidR="00A87BDC" w:rsidRDefault="00D40E4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A87BDC" w:rsidRDefault="00A87BDC">
      <w:pPr>
        <w:jc w:val="center"/>
        <w:rPr>
          <w:rFonts w:ascii="方正小标宋_GBK" w:eastAsia="方正小标宋_GBK" w:hAnsi="Arial" w:cs="Arial"/>
          <w:sz w:val="44"/>
          <w:szCs w:val="44"/>
        </w:rPr>
      </w:pPr>
    </w:p>
    <w:p w:rsidR="00A87BDC" w:rsidRDefault="00D40E4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长春市双阳区中小企业服务中心部门决算</w:t>
      </w: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D40E4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A87BDC">
      <w:pPr>
        <w:jc w:val="center"/>
        <w:rPr>
          <w:rFonts w:ascii="Arial" w:eastAsia="方正小标宋简体" w:hAnsi="Arial" w:cs="Arial"/>
          <w:sz w:val="44"/>
          <w:szCs w:val="44"/>
        </w:rPr>
      </w:pPr>
    </w:p>
    <w:p w:rsidR="00A87BDC" w:rsidRDefault="00D40E4A">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A87BDC" w:rsidRDefault="00A87BDC">
      <w:pPr>
        <w:spacing w:line="520" w:lineRule="exact"/>
        <w:jc w:val="center"/>
        <w:rPr>
          <w:rFonts w:ascii="方正小标宋简体" w:eastAsia="方正小标宋简体" w:hAnsi="方正小标宋简体"/>
          <w:sz w:val="44"/>
        </w:rPr>
      </w:pPr>
    </w:p>
    <w:p w:rsidR="00A87BDC" w:rsidRDefault="00D40E4A">
      <w:pPr>
        <w:spacing w:line="560" w:lineRule="exact"/>
        <w:rPr>
          <w:rFonts w:ascii="黑体" w:eastAsia="黑体" w:hAnsi="黑体"/>
          <w:sz w:val="32"/>
          <w:szCs w:val="32"/>
        </w:rPr>
      </w:pPr>
      <w:r>
        <w:rPr>
          <w:rFonts w:ascii="黑体" w:eastAsia="黑体" w:hAnsi="黑体" w:hint="eastAsia"/>
          <w:sz w:val="32"/>
          <w:szCs w:val="32"/>
        </w:rPr>
        <w:t>第一部分  部门概况</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一、部门职能</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A87BDC" w:rsidRDefault="00D40E4A">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一、收入支出决算总表</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二、收入决算表</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三、支出决算表</w:t>
      </w:r>
    </w:p>
    <w:p w:rsidR="00A87BDC" w:rsidRDefault="00D40E4A">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A87BDC" w:rsidRDefault="00D40E4A">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A87BDC" w:rsidRDefault="00D40E4A">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A87BDC" w:rsidRDefault="00D40E4A">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二、收入决算情况说明</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三、支出决算情况说明</w:t>
      </w:r>
    </w:p>
    <w:p w:rsidR="00A87BDC" w:rsidRDefault="00D40E4A">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A87BDC" w:rsidRDefault="00D40E4A">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A87BDC" w:rsidRDefault="00D40E4A">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A87BDC" w:rsidRDefault="00D40E4A">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A87BDC" w:rsidRDefault="00D40E4A">
      <w:pPr>
        <w:spacing w:line="560" w:lineRule="exact"/>
        <w:rPr>
          <w:rFonts w:ascii="黑体" w:eastAsia="黑体" w:hAnsi="黑体"/>
          <w:sz w:val="32"/>
          <w:szCs w:val="32"/>
        </w:rPr>
      </w:pPr>
      <w:r>
        <w:rPr>
          <w:rFonts w:ascii="黑体" w:eastAsia="黑体" w:hAnsi="黑体" w:hint="eastAsia"/>
          <w:sz w:val="32"/>
          <w:szCs w:val="32"/>
        </w:rPr>
        <w:t>第四部分  名词解释</w:t>
      </w:r>
    </w:p>
    <w:p w:rsidR="00A87BDC" w:rsidRDefault="00D40E4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A87BDC" w:rsidRDefault="00A87BDC">
      <w:pPr>
        <w:jc w:val="center"/>
        <w:rPr>
          <w:rFonts w:ascii="黑体" w:eastAsia="黑体" w:hAnsi="黑体"/>
          <w:sz w:val="32"/>
        </w:rPr>
      </w:pPr>
    </w:p>
    <w:p w:rsidR="00A87BDC" w:rsidRDefault="00D40E4A">
      <w:pPr>
        <w:rPr>
          <w:rFonts w:ascii="黑体" w:eastAsia="黑体" w:hAnsi="黑体"/>
          <w:sz w:val="32"/>
        </w:rPr>
      </w:pPr>
      <w:r>
        <w:rPr>
          <w:rFonts w:ascii="黑体" w:eastAsia="黑体" w:hAnsi="黑体" w:hint="eastAsia"/>
          <w:sz w:val="32"/>
        </w:rPr>
        <w:t xml:space="preserve">    一、部门职能</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（1)提供融资服务，搭建企业与金融部门的对接服务平台，建立企业融资需求信息档案，全方位了解中小企业融资项目、资本运营、产品市场情况，促使企业信用等级建设。建立适应中小企业贷款短、频、</w:t>
      </w:r>
      <w:proofErr w:type="gramStart"/>
      <w:r>
        <w:rPr>
          <w:rFonts w:ascii="仿宋" w:eastAsia="仿宋" w:hAnsi="仿宋" w:hint="eastAsia"/>
          <w:sz w:val="32"/>
          <w:szCs w:val="32"/>
        </w:rPr>
        <w:t>急特点</w:t>
      </w:r>
      <w:proofErr w:type="gramEnd"/>
      <w:r>
        <w:rPr>
          <w:rFonts w:ascii="仿宋" w:eastAsia="仿宋" w:hAnsi="仿宋" w:hint="eastAsia"/>
          <w:sz w:val="32"/>
          <w:szCs w:val="32"/>
        </w:rPr>
        <w:t>的服务。</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（2）提供管理咨询服务，建立管理咨询服务平台，建立民营企业人才信息管理库，帮助企业诊断问题，提出对策，不断提升企业经营管理水平和综合竞争力。</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（3）提供代理服务，开展企业设立代理与咨询、财务代理与咨询、税务代理与咨询及其他代理咨询服务。提供维权、创业辅导、人才培训、技术引进等服务。</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（4）提供信息服务，为中小企业信息化建设提供服务，无偿向企业提供各种信息咨询。提供产品供求信息、原材料供应信息、新产品开发、新技术转让信息、人才流动信息等信息。</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（5）提供行业协调服务，整合社会资源，设立各同行业协会服务平台，扶持专业协会组织发展，充分发挥行业协会、商会等自律组织的作用。</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供应信息、新产品开发、新技术转让信息、人才流动信息等信息。</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（6）提供行业协调服务，整合社会资源，设立各同行业协会服务平台，扶持专业协会组织发展，充分发挥行业协</w:t>
      </w:r>
      <w:r>
        <w:rPr>
          <w:rFonts w:ascii="仿宋" w:eastAsia="仿宋" w:hAnsi="仿宋" w:hint="eastAsia"/>
          <w:sz w:val="32"/>
          <w:szCs w:val="32"/>
        </w:rPr>
        <w:lastRenderedPageBreak/>
        <w:t>会、商会等自律组织的作用。</w:t>
      </w:r>
    </w:p>
    <w:p w:rsidR="00A87BDC" w:rsidRDefault="00D40E4A">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根据上述职责，长春市双阳区中小企业服务中心内设3个机构，分别为：</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（1）培训室:主要负责中小企业业务培训工作。</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（2）财务室：主要负责财务核算工作。</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（3）综合办公室：主要负责人秘、劳资、后勤等工作。</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纳入长春市双阳区中小企业服务中心2019年度部门决算编制范围的单位包括：</w:t>
      </w:r>
    </w:p>
    <w:p w:rsidR="00A87BDC" w:rsidRDefault="0005566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D40E4A">
        <w:rPr>
          <w:rFonts w:ascii="仿宋" w:eastAsia="仿宋" w:hAnsi="仿宋" w:hint="eastAsia"/>
          <w:sz w:val="32"/>
          <w:szCs w:val="32"/>
        </w:rPr>
        <w:t>长春市双阳区中小企业服务中心本级</w:t>
      </w:r>
    </w:p>
    <w:p w:rsidR="00A87BDC" w:rsidRDefault="00D40E4A">
      <w:pPr>
        <w:spacing w:line="560" w:lineRule="exact"/>
        <w:ind w:firstLineChars="200" w:firstLine="640"/>
        <w:rPr>
          <w:rFonts w:ascii="仿宋" w:eastAsia="仿宋" w:hAnsi="仿宋"/>
          <w:sz w:val="32"/>
          <w:szCs w:val="32"/>
        </w:rPr>
      </w:pPr>
      <w:r>
        <w:rPr>
          <w:rFonts w:ascii="仿宋" w:eastAsia="仿宋" w:hAnsi="仿宋" w:hint="eastAsia"/>
          <w:sz w:val="32"/>
          <w:szCs w:val="32"/>
        </w:rPr>
        <w:t>2019年末实有人员11人，其中：在职人员3人，离退休人员8人。</w:t>
      </w:r>
    </w:p>
    <w:p w:rsidR="00A87BDC" w:rsidRDefault="00A87BDC">
      <w:pPr>
        <w:spacing w:line="560" w:lineRule="exact"/>
        <w:rPr>
          <w:rFonts w:ascii="仿宋" w:eastAsia="仿宋" w:hAnsi="仿宋"/>
          <w:sz w:val="32"/>
        </w:rPr>
      </w:pPr>
    </w:p>
    <w:p w:rsidR="00A87BDC" w:rsidRDefault="00A87BDC">
      <w:pPr>
        <w:ind w:firstLineChars="200" w:firstLine="640"/>
        <w:rPr>
          <w:rFonts w:ascii="仿宋" w:eastAsia="仿宋" w:hAnsi="仿宋"/>
          <w:sz w:val="32"/>
        </w:rPr>
      </w:pPr>
    </w:p>
    <w:p w:rsidR="00A87BDC" w:rsidRDefault="00D40E4A">
      <w:pPr>
        <w:widowControl/>
        <w:jc w:val="left"/>
        <w:rPr>
          <w:rFonts w:ascii="仿宋" w:eastAsia="仿宋" w:hAnsi="仿宋"/>
          <w:sz w:val="32"/>
        </w:rPr>
        <w:sectPr w:rsidR="00A87BDC">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A87BDC" w:rsidRDefault="00D40E4A">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A87BDC" w:rsidRDefault="00D40E4A">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ayout w:type="fixed"/>
        <w:tblLook w:val="04A0" w:firstRow="1" w:lastRow="0" w:firstColumn="1" w:lastColumn="0" w:noHBand="0" w:noVBand="1"/>
      </w:tblPr>
      <w:tblGrid>
        <w:gridCol w:w="2662"/>
        <w:gridCol w:w="1800"/>
        <w:gridCol w:w="2644"/>
        <w:gridCol w:w="236"/>
        <w:gridCol w:w="1800"/>
      </w:tblGrid>
      <w:tr w:rsidR="00A87BDC">
        <w:trPr>
          <w:trHeight w:val="360"/>
        </w:trPr>
        <w:tc>
          <w:tcPr>
            <w:tcW w:w="9142" w:type="dxa"/>
            <w:gridSpan w:val="5"/>
            <w:tcBorders>
              <w:top w:val="nil"/>
              <w:left w:val="nil"/>
              <w:bottom w:val="nil"/>
              <w:right w:val="nil"/>
            </w:tcBorders>
            <w:shd w:val="clear" w:color="auto" w:fill="auto"/>
            <w:noWrap/>
            <w:vAlign w:val="center"/>
          </w:tcPr>
          <w:p w:rsidR="00A87BDC" w:rsidRDefault="00D40E4A">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A87BDC">
        <w:trPr>
          <w:trHeight w:val="317"/>
        </w:trPr>
        <w:tc>
          <w:tcPr>
            <w:tcW w:w="2662"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A87BDC">
        <w:trPr>
          <w:trHeight w:val="293"/>
        </w:trPr>
        <w:tc>
          <w:tcPr>
            <w:tcW w:w="2662" w:type="dxa"/>
            <w:tcBorders>
              <w:top w:val="nil"/>
              <w:left w:val="nil"/>
              <w:bottom w:val="nil"/>
              <w:right w:val="nil"/>
            </w:tcBorders>
            <w:shd w:val="clear" w:color="auto" w:fill="FFFFFF"/>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A87BDC">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46.10　</w:t>
            </w:r>
          </w:p>
        </w:tc>
        <w:tc>
          <w:tcPr>
            <w:tcW w:w="2880"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二、</w:t>
            </w:r>
            <w:r>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三、</w:t>
            </w:r>
            <w:r>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四、</w:t>
            </w:r>
            <w:r>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五、</w:t>
            </w:r>
            <w:r>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0.03　</w:t>
            </w:r>
          </w:p>
        </w:tc>
        <w:tc>
          <w:tcPr>
            <w:tcW w:w="2880"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六、</w:t>
            </w:r>
            <w:r>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七、</w:t>
            </w:r>
            <w:r>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八、</w:t>
            </w:r>
            <w:r>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九、</w:t>
            </w:r>
            <w:r>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十、</w:t>
            </w:r>
            <w:r>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十一、</w:t>
            </w:r>
            <w:r>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十二、</w:t>
            </w:r>
            <w:r>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44.01</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十三、</w:t>
            </w:r>
            <w:r>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十四、</w:t>
            </w:r>
            <w:r>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十五、</w:t>
            </w:r>
            <w:r>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十六、</w:t>
            </w:r>
            <w:r>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十七、</w:t>
            </w:r>
            <w:r>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bCs/>
                <w:kern w:val="0"/>
                <w:szCs w:val="21"/>
              </w:rPr>
            </w:pPr>
            <w:r>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46.13　</w:t>
            </w: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bCs/>
                <w:kern w:val="0"/>
                <w:szCs w:val="21"/>
              </w:rPr>
            </w:pPr>
            <w:r>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A87BDC">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kern w:val="0"/>
                <w:szCs w:val="21"/>
              </w:rPr>
            </w:pPr>
            <w:r>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Cs w:val="21"/>
              </w:rPr>
            </w:pPr>
            <w:r>
              <w:rPr>
                <w:rFonts w:ascii="仿宋" w:eastAsia="仿宋" w:hAnsi="仿宋" w:cs="宋体" w:hint="eastAsia"/>
                <w:b/>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kern w:val="0"/>
                <w:szCs w:val="21"/>
              </w:rPr>
            </w:pPr>
            <w:r>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2.12　</w:t>
            </w:r>
          </w:p>
        </w:tc>
      </w:tr>
      <w:tr w:rsidR="00A87BDC">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46.13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A87BDC" w:rsidRDefault="00D40E4A">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46.13　</w:t>
            </w:r>
          </w:p>
        </w:tc>
      </w:tr>
      <w:tr w:rsidR="00A87BDC">
        <w:trPr>
          <w:trHeight w:val="585"/>
        </w:trPr>
        <w:tc>
          <w:tcPr>
            <w:tcW w:w="9142" w:type="dxa"/>
            <w:gridSpan w:val="5"/>
            <w:tcBorders>
              <w:top w:val="single" w:sz="8" w:space="0" w:color="auto"/>
              <w:left w:val="nil"/>
              <w:bottom w:val="nil"/>
              <w:right w:val="nil"/>
            </w:tcBorders>
            <w:shd w:val="clear" w:color="auto" w:fill="auto"/>
            <w:vAlign w:val="center"/>
          </w:tcPr>
          <w:p w:rsidR="00A87BDC" w:rsidRDefault="00D40E4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A87BDC" w:rsidRDefault="00A87BDC">
      <w:pPr>
        <w:rPr>
          <w:rFonts w:ascii="黑体" w:eastAsia="黑体" w:hAnsi="黑体"/>
          <w:sz w:val="32"/>
        </w:rPr>
        <w:sectPr w:rsidR="00A87BDC">
          <w:pgSz w:w="11906" w:h="16838"/>
          <w:pgMar w:top="1440" w:right="1797" w:bottom="1440" w:left="1797" w:header="851" w:footer="992" w:gutter="0"/>
          <w:cols w:space="720"/>
          <w:docGrid w:type="linesAndChars" w:linePitch="312"/>
        </w:sectPr>
      </w:pPr>
    </w:p>
    <w:p w:rsidR="00A87BDC" w:rsidRDefault="00D40E4A">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A87BDC">
        <w:trPr>
          <w:trHeight w:val="405"/>
        </w:trPr>
        <w:tc>
          <w:tcPr>
            <w:tcW w:w="14055" w:type="dxa"/>
            <w:gridSpan w:val="11"/>
            <w:tcBorders>
              <w:top w:val="nil"/>
              <w:left w:val="nil"/>
              <w:bottom w:val="nil"/>
              <w:right w:val="nil"/>
            </w:tcBorders>
            <w:shd w:val="clear" w:color="auto" w:fill="auto"/>
            <w:noWrap/>
            <w:vAlign w:val="center"/>
          </w:tcPr>
          <w:p w:rsidR="00A87BDC" w:rsidRDefault="00D40E4A">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A87BDC">
        <w:trPr>
          <w:trHeight w:val="285"/>
        </w:trPr>
        <w:tc>
          <w:tcPr>
            <w:tcW w:w="315"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A87BDC">
        <w:trPr>
          <w:trHeight w:val="285"/>
        </w:trPr>
        <w:tc>
          <w:tcPr>
            <w:tcW w:w="1095" w:type="dxa"/>
            <w:gridSpan w:val="2"/>
            <w:tcBorders>
              <w:top w:val="nil"/>
              <w:left w:val="nil"/>
              <w:bottom w:val="nil"/>
              <w:right w:val="nil"/>
            </w:tcBorders>
            <w:shd w:val="clear" w:color="auto" w:fill="FFFFFF"/>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A87BDC" w:rsidRDefault="00D40E4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87BDC">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A87BDC">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A87BDC" w:rsidRDefault="00A87BDC">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A87BDC">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46.13　</w:t>
            </w:r>
          </w:p>
        </w:tc>
        <w:tc>
          <w:tcPr>
            <w:tcW w:w="172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46.10　</w:t>
            </w:r>
          </w:p>
        </w:tc>
        <w:tc>
          <w:tcPr>
            <w:tcW w:w="165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0.03　</w:t>
            </w:r>
          </w:p>
        </w:tc>
      </w:tr>
      <w:tr w:rsidR="00A87BD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w:t>
            </w:r>
          </w:p>
        </w:tc>
        <w:tc>
          <w:tcPr>
            <w:tcW w:w="1766" w:type="dxa"/>
            <w:tcBorders>
              <w:top w:val="nil"/>
              <w:left w:val="nil"/>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资源勘探信息等支出</w:t>
            </w:r>
          </w:p>
        </w:tc>
        <w:tc>
          <w:tcPr>
            <w:tcW w:w="1709"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46.13　</w:t>
            </w:r>
          </w:p>
        </w:tc>
        <w:tc>
          <w:tcPr>
            <w:tcW w:w="172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46.10　</w:t>
            </w:r>
          </w:p>
        </w:tc>
        <w:tc>
          <w:tcPr>
            <w:tcW w:w="165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p>
        </w:tc>
      </w:tr>
      <w:tr w:rsidR="00A87BD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w:t>
            </w:r>
          </w:p>
        </w:tc>
        <w:tc>
          <w:tcPr>
            <w:tcW w:w="1766" w:type="dxa"/>
            <w:tcBorders>
              <w:top w:val="nil"/>
              <w:left w:val="nil"/>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工业和信息产业监管</w:t>
            </w:r>
          </w:p>
        </w:tc>
        <w:tc>
          <w:tcPr>
            <w:tcW w:w="1709"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33.62　</w:t>
            </w:r>
          </w:p>
        </w:tc>
        <w:tc>
          <w:tcPr>
            <w:tcW w:w="172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33.59　</w:t>
            </w:r>
          </w:p>
        </w:tc>
        <w:tc>
          <w:tcPr>
            <w:tcW w:w="165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p>
        </w:tc>
      </w:tr>
      <w:tr w:rsidR="00A87BD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2150599</w:t>
            </w:r>
          </w:p>
        </w:tc>
        <w:tc>
          <w:tcPr>
            <w:tcW w:w="1766" w:type="dxa"/>
            <w:tcBorders>
              <w:top w:val="nil"/>
              <w:left w:val="nil"/>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其他工业和信息产业监管支出</w:t>
            </w:r>
          </w:p>
        </w:tc>
        <w:tc>
          <w:tcPr>
            <w:tcW w:w="1709"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33.62　</w:t>
            </w:r>
          </w:p>
        </w:tc>
        <w:tc>
          <w:tcPr>
            <w:tcW w:w="172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33.59　</w:t>
            </w:r>
          </w:p>
        </w:tc>
        <w:tc>
          <w:tcPr>
            <w:tcW w:w="165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p>
        </w:tc>
      </w:tr>
      <w:tr w:rsidR="00A87BD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21508</w:t>
            </w:r>
          </w:p>
        </w:tc>
        <w:tc>
          <w:tcPr>
            <w:tcW w:w="1766" w:type="dxa"/>
            <w:tcBorders>
              <w:top w:val="nil"/>
              <w:left w:val="nil"/>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支持中小企业发展和管理支出</w:t>
            </w:r>
          </w:p>
        </w:tc>
        <w:tc>
          <w:tcPr>
            <w:tcW w:w="1709"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12.51　</w:t>
            </w:r>
          </w:p>
        </w:tc>
        <w:tc>
          <w:tcPr>
            <w:tcW w:w="172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12.51　</w:t>
            </w:r>
          </w:p>
        </w:tc>
        <w:tc>
          <w:tcPr>
            <w:tcW w:w="165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2150899</w:t>
            </w:r>
          </w:p>
        </w:tc>
        <w:tc>
          <w:tcPr>
            <w:tcW w:w="1766" w:type="dxa"/>
            <w:tcBorders>
              <w:top w:val="nil"/>
              <w:left w:val="nil"/>
              <w:bottom w:val="single" w:sz="4" w:space="0" w:color="auto"/>
              <w:right w:val="single" w:sz="4" w:space="0" w:color="auto"/>
            </w:tcBorders>
            <w:shd w:val="clear" w:color="auto" w:fill="FFFFFF"/>
            <w:noWrap/>
            <w:vAlign w:val="center"/>
          </w:tcPr>
          <w:p w:rsidR="00A87BDC" w:rsidRDefault="00D40E4A" w:rsidP="00290236">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其他支持中小企业发展和管理支出</w:t>
            </w:r>
          </w:p>
        </w:tc>
        <w:tc>
          <w:tcPr>
            <w:tcW w:w="1709"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12.51</w:t>
            </w:r>
          </w:p>
        </w:tc>
        <w:tc>
          <w:tcPr>
            <w:tcW w:w="172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12.51</w:t>
            </w:r>
          </w:p>
        </w:tc>
        <w:tc>
          <w:tcPr>
            <w:tcW w:w="1657"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A87BDC" w:rsidP="00290236">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87BDC" w:rsidRDefault="00A87BDC" w:rsidP="00290236">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615"/>
        </w:trPr>
        <w:tc>
          <w:tcPr>
            <w:tcW w:w="14055" w:type="dxa"/>
            <w:gridSpan w:val="11"/>
            <w:tcBorders>
              <w:top w:val="single" w:sz="8" w:space="0" w:color="auto"/>
              <w:left w:val="nil"/>
              <w:bottom w:val="nil"/>
              <w:right w:val="nil"/>
            </w:tcBorders>
            <w:shd w:val="clear" w:color="auto" w:fill="auto"/>
            <w:vAlign w:val="center"/>
          </w:tcPr>
          <w:p w:rsidR="00A87BDC" w:rsidRDefault="00D40E4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A87BDC" w:rsidRDefault="00D40E4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ayout w:type="fixed"/>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A87BDC">
        <w:trPr>
          <w:trHeight w:val="405"/>
        </w:trPr>
        <w:tc>
          <w:tcPr>
            <w:tcW w:w="14867" w:type="dxa"/>
            <w:gridSpan w:val="12"/>
            <w:tcBorders>
              <w:top w:val="nil"/>
              <w:left w:val="nil"/>
              <w:bottom w:val="nil"/>
              <w:right w:val="nil"/>
            </w:tcBorders>
            <w:shd w:val="clear" w:color="auto" w:fill="auto"/>
            <w:noWrap/>
            <w:vAlign w:val="center"/>
          </w:tcPr>
          <w:p w:rsidR="00A87BDC" w:rsidRDefault="00D40E4A">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A87BDC">
        <w:trPr>
          <w:trHeight w:val="285"/>
        </w:trPr>
        <w:tc>
          <w:tcPr>
            <w:tcW w:w="735"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A87BDC">
        <w:trPr>
          <w:trHeight w:val="285"/>
        </w:trPr>
        <w:tc>
          <w:tcPr>
            <w:tcW w:w="735" w:type="dxa"/>
            <w:tcBorders>
              <w:top w:val="nil"/>
              <w:left w:val="nil"/>
              <w:bottom w:val="nil"/>
              <w:right w:val="nil"/>
            </w:tcBorders>
            <w:shd w:val="clear" w:color="auto" w:fill="FFFFFF"/>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A87BDC" w:rsidRDefault="00D40E4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A87BDC">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A87BDC">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A87BDC">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44.01</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44.01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30.14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13.87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w:t>
            </w:r>
          </w:p>
        </w:tc>
        <w:tc>
          <w:tcPr>
            <w:tcW w:w="1787"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资源勘探信息等支出</w:t>
            </w:r>
          </w:p>
        </w:tc>
        <w:tc>
          <w:tcPr>
            <w:tcW w:w="181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44.01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44.01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30.14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13.87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21505</w:t>
            </w:r>
          </w:p>
        </w:tc>
        <w:tc>
          <w:tcPr>
            <w:tcW w:w="1787"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bCs/>
                <w:kern w:val="0"/>
                <w:sz w:val="22"/>
                <w:szCs w:val="22"/>
              </w:rPr>
            </w:pPr>
            <w:r>
              <w:rPr>
                <w:rFonts w:ascii="仿宋" w:eastAsia="仿宋" w:hAnsi="仿宋" w:cs="宋体" w:hint="eastAsia"/>
                <w:b/>
                <w:bCs/>
                <w:kern w:val="0"/>
                <w:sz w:val="22"/>
                <w:szCs w:val="22"/>
              </w:rPr>
              <w:t>工业和信息产业监管</w:t>
            </w:r>
          </w:p>
        </w:tc>
        <w:tc>
          <w:tcPr>
            <w:tcW w:w="181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31.50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31.50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30.14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2150599</w:t>
            </w:r>
          </w:p>
        </w:tc>
        <w:tc>
          <w:tcPr>
            <w:tcW w:w="1787"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其他工业和信息产业监管支出</w:t>
            </w:r>
          </w:p>
        </w:tc>
        <w:tc>
          <w:tcPr>
            <w:tcW w:w="181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31.50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31.50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30.14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21508</w:t>
            </w:r>
          </w:p>
        </w:tc>
        <w:tc>
          <w:tcPr>
            <w:tcW w:w="1787"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支持中小企业发展和管理支出</w:t>
            </w:r>
          </w:p>
        </w:tc>
        <w:tc>
          <w:tcPr>
            <w:tcW w:w="181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12.51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12.51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2150899</w:t>
            </w:r>
          </w:p>
        </w:tc>
        <w:tc>
          <w:tcPr>
            <w:tcW w:w="1787"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其他支持中小企业发展和管理支出</w:t>
            </w:r>
          </w:p>
        </w:tc>
        <w:tc>
          <w:tcPr>
            <w:tcW w:w="1813"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12.51</w:t>
            </w:r>
          </w:p>
        </w:tc>
        <w:tc>
          <w:tcPr>
            <w:tcW w:w="144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12.51</w:t>
            </w:r>
          </w:p>
        </w:tc>
        <w:tc>
          <w:tcPr>
            <w:tcW w:w="1418"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87BDC" w:rsidRDefault="00A87BDC">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87BDC" w:rsidRDefault="00A87BDC">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bl>
    <w:p w:rsidR="00A87BDC" w:rsidRDefault="00A87BDC"/>
    <w:p w:rsidR="00A87BDC" w:rsidRPr="00055665" w:rsidRDefault="00D40E4A" w:rsidP="0005566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tbl>
      <w:tblPr>
        <w:tblW w:w="14867" w:type="dxa"/>
        <w:tblInd w:w="93" w:type="dxa"/>
        <w:tblLayout w:type="fixed"/>
        <w:tblLook w:val="04A0" w:firstRow="1" w:lastRow="0" w:firstColumn="1" w:lastColumn="0" w:noHBand="0" w:noVBand="1"/>
      </w:tblPr>
      <w:tblGrid>
        <w:gridCol w:w="14867"/>
      </w:tblGrid>
      <w:tr w:rsidR="00A87BDC">
        <w:trPr>
          <w:trHeight w:val="630"/>
        </w:trPr>
        <w:tc>
          <w:tcPr>
            <w:tcW w:w="14867" w:type="dxa"/>
            <w:tcBorders>
              <w:top w:val="nil"/>
              <w:left w:val="nil"/>
              <w:bottom w:val="nil"/>
              <w:right w:val="nil"/>
            </w:tcBorders>
            <w:shd w:val="clear" w:color="auto" w:fill="auto"/>
            <w:vAlign w:val="center"/>
          </w:tcPr>
          <w:p w:rsidR="00A87BDC" w:rsidRDefault="00A87BDC">
            <w:pPr>
              <w:widowControl/>
              <w:jc w:val="left"/>
              <w:rPr>
                <w:rFonts w:ascii="仿宋" w:eastAsia="仿宋" w:hAnsi="仿宋" w:cs="宋体"/>
                <w:b/>
                <w:kern w:val="0"/>
                <w:sz w:val="24"/>
                <w:szCs w:val="24"/>
              </w:rPr>
            </w:pPr>
          </w:p>
        </w:tc>
      </w:tr>
    </w:tbl>
    <w:p w:rsidR="00A87BDC" w:rsidRDefault="00D40E4A">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ayout w:type="fixed"/>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A87BDC">
        <w:trPr>
          <w:trHeight w:val="360"/>
        </w:trPr>
        <w:tc>
          <w:tcPr>
            <w:tcW w:w="13875" w:type="dxa"/>
            <w:gridSpan w:val="10"/>
            <w:tcBorders>
              <w:top w:val="nil"/>
              <w:left w:val="nil"/>
              <w:bottom w:val="nil"/>
              <w:right w:val="nil"/>
            </w:tcBorders>
            <w:shd w:val="clear" w:color="auto" w:fill="auto"/>
            <w:noWrap/>
            <w:vAlign w:val="center"/>
          </w:tcPr>
          <w:p w:rsidR="00A87BDC" w:rsidRDefault="00D40E4A">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A87BDC">
        <w:trPr>
          <w:trHeight w:val="199"/>
        </w:trPr>
        <w:tc>
          <w:tcPr>
            <w:tcW w:w="3255"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A87BDC">
        <w:trPr>
          <w:trHeight w:val="300"/>
        </w:trPr>
        <w:tc>
          <w:tcPr>
            <w:tcW w:w="3255" w:type="dxa"/>
            <w:tcBorders>
              <w:top w:val="nil"/>
              <w:left w:val="nil"/>
              <w:bottom w:val="nil"/>
              <w:right w:val="nil"/>
            </w:tcBorders>
            <w:shd w:val="clear" w:color="auto" w:fill="FFFFFF"/>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A87BDC">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A87BDC">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46.10　</w:t>
            </w: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44.01</w:t>
            </w: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44.01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87BDC" w:rsidRDefault="00A87BD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46.10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44.01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44.01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A87BD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2.09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46.10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46.10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46.10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BDC" w:rsidRDefault="00A87BDC">
            <w:pPr>
              <w:widowControl/>
              <w:jc w:val="right"/>
              <w:rPr>
                <w:rFonts w:ascii="仿宋" w:eastAsia="仿宋" w:hAnsi="仿宋" w:cs="宋体"/>
                <w:b/>
                <w:kern w:val="0"/>
                <w:sz w:val="22"/>
                <w:szCs w:val="22"/>
              </w:rPr>
            </w:pPr>
          </w:p>
        </w:tc>
      </w:tr>
      <w:tr w:rsidR="00A87BDC">
        <w:trPr>
          <w:trHeight w:val="585"/>
        </w:trPr>
        <w:tc>
          <w:tcPr>
            <w:tcW w:w="13875" w:type="dxa"/>
            <w:gridSpan w:val="10"/>
            <w:tcBorders>
              <w:top w:val="single" w:sz="8" w:space="0" w:color="auto"/>
              <w:left w:val="nil"/>
              <w:bottom w:val="nil"/>
              <w:right w:val="nil"/>
            </w:tcBorders>
            <w:shd w:val="clear" w:color="auto" w:fill="auto"/>
            <w:vAlign w:val="center"/>
          </w:tcPr>
          <w:p w:rsidR="00A87BDC" w:rsidRDefault="00D40E4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A87BDC" w:rsidRDefault="00D40E4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ayout w:type="fixed"/>
        <w:tblLook w:val="04A0" w:firstRow="1" w:lastRow="0" w:firstColumn="1" w:lastColumn="0" w:noHBand="0" w:noVBand="1"/>
      </w:tblPr>
      <w:tblGrid>
        <w:gridCol w:w="680"/>
        <w:gridCol w:w="760"/>
        <w:gridCol w:w="2175"/>
        <w:gridCol w:w="2405"/>
        <w:gridCol w:w="1960"/>
        <w:gridCol w:w="1935"/>
        <w:gridCol w:w="1800"/>
        <w:gridCol w:w="2340"/>
      </w:tblGrid>
      <w:tr w:rsidR="00A87BDC">
        <w:trPr>
          <w:trHeight w:val="600"/>
        </w:trPr>
        <w:tc>
          <w:tcPr>
            <w:tcW w:w="14055" w:type="dxa"/>
            <w:gridSpan w:val="8"/>
            <w:tcBorders>
              <w:top w:val="nil"/>
              <w:left w:val="nil"/>
              <w:bottom w:val="nil"/>
              <w:right w:val="nil"/>
            </w:tcBorders>
            <w:shd w:val="clear" w:color="auto" w:fill="FFFFFF"/>
            <w:vAlign w:val="center"/>
          </w:tcPr>
          <w:p w:rsidR="00A87BDC" w:rsidRDefault="00D40E4A">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A87BDC">
        <w:trPr>
          <w:trHeight w:val="222"/>
        </w:trPr>
        <w:tc>
          <w:tcPr>
            <w:tcW w:w="680"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A87BDC">
        <w:trPr>
          <w:trHeight w:val="300"/>
        </w:trPr>
        <w:tc>
          <w:tcPr>
            <w:tcW w:w="1440" w:type="dxa"/>
            <w:gridSpan w:val="2"/>
            <w:tcBorders>
              <w:top w:val="nil"/>
              <w:left w:val="nil"/>
              <w:bottom w:val="nil"/>
              <w:right w:val="nil"/>
            </w:tcBorders>
            <w:shd w:val="clear" w:color="auto" w:fill="FFFFFF"/>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87BDC">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A87BDC">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A87BDC" w:rsidRDefault="00A87BDC">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A87BDC" w:rsidRDefault="00A87BDC">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A87BDC" w:rsidRDefault="00A87BDC">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A87BDC">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44.01</w:t>
            </w:r>
          </w:p>
        </w:tc>
        <w:tc>
          <w:tcPr>
            <w:tcW w:w="19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44.01　</w:t>
            </w:r>
          </w:p>
        </w:tc>
        <w:tc>
          <w:tcPr>
            <w:tcW w:w="1935"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30.14　</w:t>
            </w:r>
          </w:p>
        </w:tc>
        <w:tc>
          <w:tcPr>
            <w:tcW w:w="180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13.87　</w:t>
            </w:r>
          </w:p>
        </w:tc>
        <w:tc>
          <w:tcPr>
            <w:tcW w:w="2340"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w:t>
            </w:r>
          </w:p>
        </w:tc>
        <w:tc>
          <w:tcPr>
            <w:tcW w:w="2175"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资源勘探信息等支出</w:t>
            </w:r>
          </w:p>
        </w:tc>
        <w:tc>
          <w:tcPr>
            <w:tcW w:w="24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44.01　</w:t>
            </w:r>
          </w:p>
        </w:tc>
        <w:tc>
          <w:tcPr>
            <w:tcW w:w="19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44.01　</w:t>
            </w:r>
          </w:p>
        </w:tc>
        <w:tc>
          <w:tcPr>
            <w:tcW w:w="1935"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30.14　</w:t>
            </w:r>
          </w:p>
        </w:tc>
        <w:tc>
          <w:tcPr>
            <w:tcW w:w="180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13.87　</w:t>
            </w:r>
          </w:p>
        </w:tc>
        <w:tc>
          <w:tcPr>
            <w:tcW w:w="2340"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21505</w:t>
            </w:r>
          </w:p>
        </w:tc>
        <w:tc>
          <w:tcPr>
            <w:tcW w:w="2175" w:type="dxa"/>
            <w:tcBorders>
              <w:top w:val="nil"/>
              <w:left w:val="nil"/>
              <w:bottom w:val="single" w:sz="4" w:space="0" w:color="auto"/>
              <w:right w:val="single" w:sz="4" w:space="0" w:color="auto"/>
            </w:tcBorders>
            <w:shd w:val="clear" w:color="auto" w:fill="auto"/>
            <w:vAlign w:val="center"/>
          </w:tcPr>
          <w:p w:rsidR="00A87BDC" w:rsidRDefault="00D40E4A">
            <w:pPr>
              <w:widowControl/>
              <w:jc w:val="left"/>
              <w:rPr>
                <w:rFonts w:ascii="仿宋" w:eastAsia="仿宋" w:hAnsi="仿宋" w:cs="宋体"/>
                <w:b/>
                <w:bCs/>
                <w:kern w:val="0"/>
                <w:sz w:val="22"/>
                <w:szCs w:val="22"/>
              </w:rPr>
            </w:pPr>
            <w:r>
              <w:rPr>
                <w:rFonts w:ascii="仿宋" w:eastAsia="仿宋" w:hAnsi="仿宋" w:cs="宋体" w:hint="eastAsia"/>
                <w:b/>
                <w:bCs/>
                <w:kern w:val="0"/>
                <w:sz w:val="22"/>
                <w:szCs w:val="22"/>
              </w:rPr>
              <w:t>工业和信息产业监管</w:t>
            </w:r>
          </w:p>
        </w:tc>
        <w:tc>
          <w:tcPr>
            <w:tcW w:w="24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31.50　</w:t>
            </w:r>
          </w:p>
        </w:tc>
        <w:tc>
          <w:tcPr>
            <w:tcW w:w="19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31.50　</w:t>
            </w:r>
          </w:p>
        </w:tc>
        <w:tc>
          <w:tcPr>
            <w:tcW w:w="1935"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30.14　</w:t>
            </w:r>
          </w:p>
        </w:tc>
        <w:tc>
          <w:tcPr>
            <w:tcW w:w="180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2150599</w:t>
            </w:r>
          </w:p>
        </w:tc>
        <w:tc>
          <w:tcPr>
            <w:tcW w:w="2175"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其他工业和信息产业监管支出</w:t>
            </w:r>
          </w:p>
        </w:tc>
        <w:tc>
          <w:tcPr>
            <w:tcW w:w="24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31.50　</w:t>
            </w:r>
          </w:p>
        </w:tc>
        <w:tc>
          <w:tcPr>
            <w:tcW w:w="19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31.50　</w:t>
            </w:r>
          </w:p>
        </w:tc>
        <w:tc>
          <w:tcPr>
            <w:tcW w:w="1935"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30.14　</w:t>
            </w:r>
          </w:p>
        </w:tc>
        <w:tc>
          <w:tcPr>
            <w:tcW w:w="180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21508</w:t>
            </w:r>
          </w:p>
        </w:tc>
        <w:tc>
          <w:tcPr>
            <w:tcW w:w="2175"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支持中小企业发展和管理支出</w:t>
            </w:r>
          </w:p>
        </w:tc>
        <w:tc>
          <w:tcPr>
            <w:tcW w:w="24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12.51　</w:t>
            </w:r>
          </w:p>
        </w:tc>
        <w:tc>
          <w:tcPr>
            <w:tcW w:w="19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12.51　</w:t>
            </w:r>
          </w:p>
        </w:tc>
        <w:tc>
          <w:tcPr>
            <w:tcW w:w="2340"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2150899</w:t>
            </w:r>
          </w:p>
        </w:tc>
        <w:tc>
          <w:tcPr>
            <w:tcW w:w="2175"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其他支持中小企业发展和管理支出</w:t>
            </w:r>
          </w:p>
        </w:tc>
        <w:tc>
          <w:tcPr>
            <w:tcW w:w="24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12.51</w:t>
            </w:r>
          </w:p>
        </w:tc>
        <w:tc>
          <w:tcPr>
            <w:tcW w:w="1960" w:type="dxa"/>
            <w:tcBorders>
              <w:top w:val="nil"/>
              <w:left w:val="nil"/>
              <w:bottom w:val="single" w:sz="4" w:space="0" w:color="auto"/>
              <w:right w:val="single" w:sz="4" w:space="0" w:color="auto"/>
            </w:tcBorders>
            <w:shd w:val="clear" w:color="auto" w:fill="auto"/>
            <w:vAlign w:val="center"/>
          </w:tcPr>
          <w:p w:rsidR="00A87BDC" w:rsidRDefault="00A87BDC">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87BDC" w:rsidRDefault="00A87BD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12.51</w:t>
            </w:r>
          </w:p>
        </w:tc>
        <w:tc>
          <w:tcPr>
            <w:tcW w:w="2340" w:type="dxa"/>
            <w:tcBorders>
              <w:top w:val="nil"/>
              <w:left w:val="single" w:sz="4" w:space="0" w:color="auto"/>
              <w:bottom w:val="single" w:sz="4" w:space="0" w:color="auto"/>
              <w:right w:val="single" w:sz="8" w:space="0" w:color="auto"/>
            </w:tcBorders>
            <w:shd w:val="clear" w:color="auto" w:fill="auto"/>
            <w:vAlign w:val="center"/>
          </w:tcPr>
          <w:p w:rsidR="00A87BDC" w:rsidRDefault="00A87BDC">
            <w:pPr>
              <w:widowControl/>
              <w:jc w:val="right"/>
              <w:rPr>
                <w:rFonts w:ascii="仿宋" w:eastAsia="仿宋" w:hAnsi="仿宋" w:cs="宋体"/>
                <w:b/>
                <w:kern w:val="0"/>
                <w:sz w:val="22"/>
                <w:szCs w:val="22"/>
              </w:rPr>
            </w:pPr>
          </w:p>
        </w:tc>
      </w:tr>
      <w:tr w:rsidR="00A87BDC">
        <w:trPr>
          <w:trHeight w:val="645"/>
        </w:trPr>
        <w:tc>
          <w:tcPr>
            <w:tcW w:w="14055" w:type="dxa"/>
            <w:gridSpan w:val="8"/>
            <w:tcBorders>
              <w:top w:val="single" w:sz="8" w:space="0" w:color="auto"/>
              <w:left w:val="nil"/>
              <w:bottom w:val="nil"/>
              <w:right w:val="nil"/>
            </w:tcBorders>
            <w:shd w:val="clear" w:color="auto" w:fill="auto"/>
            <w:vAlign w:val="center"/>
          </w:tcPr>
          <w:p w:rsidR="00A87BDC" w:rsidRDefault="00D40E4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A87BDC" w:rsidRDefault="00D40E4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ayout w:type="fixed"/>
        <w:tblLook w:val="04A0" w:firstRow="1" w:lastRow="0" w:firstColumn="1" w:lastColumn="0" w:noHBand="0" w:noVBand="1"/>
      </w:tblPr>
      <w:tblGrid>
        <w:gridCol w:w="720"/>
        <w:gridCol w:w="3100"/>
        <w:gridCol w:w="1300"/>
        <w:gridCol w:w="720"/>
        <w:gridCol w:w="2200"/>
        <w:gridCol w:w="1300"/>
        <w:gridCol w:w="720"/>
        <w:gridCol w:w="2567"/>
        <w:gridCol w:w="1440"/>
      </w:tblGrid>
      <w:tr w:rsidR="00A87BDC">
        <w:trPr>
          <w:trHeight w:val="480"/>
        </w:trPr>
        <w:tc>
          <w:tcPr>
            <w:tcW w:w="14067" w:type="dxa"/>
            <w:gridSpan w:val="9"/>
            <w:tcBorders>
              <w:top w:val="nil"/>
              <w:left w:val="nil"/>
              <w:bottom w:val="nil"/>
              <w:right w:val="nil"/>
            </w:tcBorders>
            <w:shd w:val="clear" w:color="auto" w:fill="FFFFFF"/>
            <w:vAlign w:val="center"/>
          </w:tcPr>
          <w:p w:rsidR="00A87BDC" w:rsidRDefault="00D40E4A">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A87BDC">
        <w:trPr>
          <w:trHeight w:val="222"/>
        </w:trPr>
        <w:tc>
          <w:tcPr>
            <w:tcW w:w="720"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A87BDC">
        <w:trPr>
          <w:trHeight w:val="300"/>
        </w:trPr>
        <w:tc>
          <w:tcPr>
            <w:tcW w:w="720" w:type="dxa"/>
            <w:tcBorders>
              <w:top w:val="nil"/>
              <w:left w:val="nil"/>
              <w:bottom w:val="nil"/>
              <w:right w:val="nil"/>
            </w:tcBorders>
            <w:shd w:val="clear" w:color="auto" w:fill="FFFFFF"/>
            <w:noWrap/>
            <w:vAlign w:val="center"/>
          </w:tcPr>
          <w:p w:rsidR="00A87BDC" w:rsidRDefault="00D40E4A">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A87BDC" w:rsidRDefault="00A87BDC">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A87BDC" w:rsidRDefault="00A87BDC">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A87BDC" w:rsidRDefault="00A87BDC">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A87BDC" w:rsidRDefault="00A87BDC">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A87BDC" w:rsidRDefault="00A87BDC">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A87BDC" w:rsidRDefault="00A87BDC">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A87BDC" w:rsidRDefault="00A87BDC">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87BDC">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A87BDC" w:rsidRDefault="00D40E4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A87BDC" w:rsidRDefault="00D40E4A">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A87BDC" w:rsidTr="00D40E4A">
        <w:trPr>
          <w:trHeight w:val="259"/>
        </w:trPr>
        <w:tc>
          <w:tcPr>
            <w:tcW w:w="720" w:type="dxa"/>
            <w:tcBorders>
              <w:top w:val="nil"/>
              <w:left w:val="single" w:sz="8"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22.50</w:t>
            </w:r>
          </w:p>
        </w:tc>
        <w:tc>
          <w:tcPr>
            <w:tcW w:w="720"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13.87</w:t>
            </w:r>
          </w:p>
        </w:tc>
        <w:tc>
          <w:tcPr>
            <w:tcW w:w="720"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12"/>
        </w:trPr>
        <w:tc>
          <w:tcPr>
            <w:tcW w:w="720" w:type="dxa"/>
            <w:tcBorders>
              <w:top w:val="nil"/>
              <w:left w:val="single" w:sz="8"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13.31</w:t>
            </w:r>
          </w:p>
        </w:tc>
        <w:tc>
          <w:tcPr>
            <w:tcW w:w="720"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0.46</w:t>
            </w:r>
          </w:p>
        </w:tc>
        <w:tc>
          <w:tcPr>
            <w:tcW w:w="720"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0.39</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0.26</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0.20</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0.01</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0.55</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0.06</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3.83</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0.53</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1.45</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0.14</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2.63</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7.64</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7.64</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12.51</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0.04</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r>
      <w:tr w:rsidR="00A87BDC" w:rsidTr="00D40E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A87BDC" w:rsidRDefault="00A87BDC">
            <w:pPr>
              <w:widowControl/>
              <w:jc w:val="left"/>
              <w:rPr>
                <w:rFonts w:ascii="仿宋" w:eastAsia="仿宋" w:hAnsi="仿宋" w:cs="宋体"/>
                <w:b/>
                <w:color w:val="000000"/>
                <w:kern w:val="0"/>
                <w:sz w:val="20"/>
              </w:rPr>
            </w:pPr>
          </w:p>
        </w:tc>
      </w:tr>
      <w:tr w:rsidR="00A87BDC" w:rsidTr="00D40E4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A87BDC" w:rsidRDefault="00D40E4A" w:rsidP="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30.14</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13.87</w:t>
            </w:r>
          </w:p>
        </w:tc>
      </w:tr>
      <w:tr w:rsidR="00A87BDC">
        <w:trPr>
          <w:trHeight w:val="379"/>
        </w:trPr>
        <w:tc>
          <w:tcPr>
            <w:tcW w:w="9340" w:type="dxa"/>
            <w:gridSpan w:val="6"/>
            <w:tcBorders>
              <w:top w:val="single" w:sz="8" w:space="0" w:color="auto"/>
              <w:left w:val="nil"/>
              <w:bottom w:val="nil"/>
              <w:right w:val="nil"/>
            </w:tcBorders>
            <w:shd w:val="clear" w:color="auto" w:fill="auto"/>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A87BDC" w:rsidRDefault="00A87BDC">
      <w:pPr>
        <w:widowControl/>
        <w:jc w:val="left"/>
        <w:rPr>
          <w:rFonts w:ascii="仿宋" w:eastAsia="仿宋" w:hAnsi="仿宋" w:cs="宋体"/>
          <w:b/>
          <w:kern w:val="0"/>
          <w:sz w:val="24"/>
          <w:szCs w:val="24"/>
        </w:rPr>
      </w:pPr>
    </w:p>
    <w:p w:rsidR="00A87BDC" w:rsidRDefault="00D40E4A">
      <w:r>
        <w:br w:type="page"/>
      </w:r>
    </w:p>
    <w:p w:rsidR="00A87BDC" w:rsidRDefault="00D40E4A">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ayout w:type="fixed"/>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A87BDC">
        <w:trPr>
          <w:trHeight w:val="600"/>
        </w:trPr>
        <w:tc>
          <w:tcPr>
            <w:tcW w:w="14081" w:type="dxa"/>
            <w:gridSpan w:val="13"/>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A87BDC">
        <w:trPr>
          <w:trHeight w:val="222"/>
        </w:trPr>
        <w:tc>
          <w:tcPr>
            <w:tcW w:w="1671"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3"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4"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1"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1"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7"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88"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A87BDC">
        <w:trPr>
          <w:trHeight w:val="300"/>
        </w:trPr>
        <w:tc>
          <w:tcPr>
            <w:tcW w:w="1671" w:type="dxa"/>
            <w:tcBorders>
              <w:top w:val="nil"/>
              <w:left w:val="nil"/>
              <w:bottom w:val="nil"/>
              <w:right w:val="nil"/>
            </w:tcBorders>
            <w:shd w:val="clear" w:color="auto" w:fill="FFFFFF"/>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245"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0"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3"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4"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1"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1"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7"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88" w:type="dxa"/>
            <w:gridSpan w:val="2"/>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87BDC">
        <w:trPr>
          <w:trHeight w:val="743"/>
        </w:trPr>
        <w:tc>
          <w:tcPr>
            <w:tcW w:w="6997"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084" w:type="dxa"/>
            <w:gridSpan w:val="7"/>
            <w:tcBorders>
              <w:top w:val="single" w:sz="8" w:space="0" w:color="auto"/>
              <w:left w:val="nil"/>
              <w:bottom w:val="single" w:sz="4" w:space="0" w:color="auto"/>
              <w:right w:val="single" w:sz="8" w:space="0" w:color="000000"/>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A87BDC">
        <w:trPr>
          <w:trHeight w:val="600"/>
        </w:trPr>
        <w:tc>
          <w:tcPr>
            <w:tcW w:w="1671" w:type="dxa"/>
            <w:vMerge w:val="restart"/>
            <w:tcBorders>
              <w:top w:val="nil"/>
              <w:left w:val="single" w:sz="8" w:space="0" w:color="auto"/>
              <w:bottom w:val="single" w:sz="4" w:space="0" w:color="000000"/>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45" w:type="dxa"/>
            <w:vMerge w:val="restart"/>
            <w:tcBorders>
              <w:top w:val="nil"/>
              <w:left w:val="single" w:sz="4" w:space="0" w:color="auto"/>
              <w:bottom w:val="single" w:sz="4" w:space="0" w:color="000000"/>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111" w:type="dxa"/>
            <w:gridSpan w:val="3"/>
            <w:tcBorders>
              <w:top w:val="single" w:sz="4" w:space="0" w:color="auto"/>
              <w:left w:val="nil"/>
              <w:bottom w:val="single" w:sz="4" w:space="0" w:color="auto"/>
              <w:right w:val="single" w:sz="4" w:space="0" w:color="000000"/>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103" w:type="dxa"/>
            <w:vMerge w:val="restart"/>
            <w:tcBorders>
              <w:top w:val="nil"/>
              <w:left w:val="nil"/>
              <w:bottom w:val="single" w:sz="4" w:space="0" w:color="000000"/>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322" w:type="dxa"/>
            <w:gridSpan w:val="4"/>
            <w:tcBorders>
              <w:top w:val="single" w:sz="4" w:space="0" w:color="auto"/>
              <w:left w:val="nil"/>
              <w:bottom w:val="single" w:sz="4" w:space="0" w:color="auto"/>
              <w:right w:val="single" w:sz="4" w:space="0" w:color="000000"/>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395" w:type="dxa"/>
            <w:vMerge w:val="restart"/>
            <w:tcBorders>
              <w:top w:val="nil"/>
              <w:left w:val="single" w:sz="4" w:space="0" w:color="auto"/>
              <w:bottom w:val="single" w:sz="4" w:space="0" w:color="000000"/>
              <w:right w:val="single" w:sz="8"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A87BDC">
        <w:trPr>
          <w:trHeight w:val="810"/>
        </w:trPr>
        <w:tc>
          <w:tcPr>
            <w:tcW w:w="1671" w:type="dxa"/>
            <w:vMerge/>
            <w:tcBorders>
              <w:top w:val="nil"/>
              <w:left w:val="single" w:sz="8"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2"/>
                <w:szCs w:val="22"/>
              </w:rPr>
            </w:pPr>
          </w:p>
        </w:tc>
        <w:tc>
          <w:tcPr>
            <w:tcW w:w="1245" w:type="dxa"/>
            <w:vMerge/>
            <w:tcBorders>
              <w:top w:val="nil"/>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2"/>
                <w:szCs w:val="22"/>
              </w:rPr>
            </w:pPr>
          </w:p>
        </w:tc>
        <w:tc>
          <w:tcPr>
            <w:tcW w:w="1037"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037"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037"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970" w:type="dxa"/>
            <w:vMerge/>
            <w:tcBorders>
              <w:top w:val="nil"/>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2"/>
                <w:szCs w:val="22"/>
              </w:rPr>
            </w:pPr>
          </w:p>
        </w:tc>
        <w:tc>
          <w:tcPr>
            <w:tcW w:w="1103" w:type="dxa"/>
            <w:vMerge/>
            <w:tcBorders>
              <w:top w:val="nil"/>
              <w:left w:val="nil"/>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2"/>
                <w:szCs w:val="22"/>
              </w:rPr>
            </w:pPr>
          </w:p>
        </w:tc>
        <w:tc>
          <w:tcPr>
            <w:tcW w:w="1264" w:type="dxa"/>
            <w:vMerge/>
            <w:tcBorders>
              <w:top w:val="nil"/>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2"/>
                <w:szCs w:val="22"/>
              </w:rPr>
            </w:pPr>
          </w:p>
        </w:tc>
        <w:tc>
          <w:tcPr>
            <w:tcW w:w="1091"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11"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20" w:type="dxa"/>
            <w:gridSpan w:val="2"/>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395" w:type="dxa"/>
            <w:vMerge/>
            <w:tcBorders>
              <w:top w:val="nil"/>
              <w:left w:val="single" w:sz="4" w:space="0" w:color="auto"/>
              <w:bottom w:val="single" w:sz="4" w:space="0" w:color="000000"/>
              <w:right w:val="single" w:sz="8" w:space="0" w:color="auto"/>
            </w:tcBorders>
            <w:vAlign w:val="center"/>
          </w:tcPr>
          <w:p w:rsidR="00A87BDC" w:rsidRDefault="00A87BDC">
            <w:pPr>
              <w:widowControl/>
              <w:jc w:val="left"/>
              <w:rPr>
                <w:rFonts w:ascii="仿宋" w:eastAsia="仿宋" w:hAnsi="仿宋" w:cs="宋体"/>
                <w:b/>
                <w:kern w:val="0"/>
                <w:sz w:val="22"/>
                <w:szCs w:val="22"/>
              </w:rPr>
            </w:pPr>
          </w:p>
        </w:tc>
      </w:tr>
      <w:tr w:rsidR="00A87BDC">
        <w:trPr>
          <w:trHeight w:val="964"/>
        </w:trPr>
        <w:tc>
          <w:tcPr>
            <w:tcW w:w="1671" w:type="dxa"/>
            <w:tcBorders>
              <w:top w:val="nil"/>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245"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037"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037"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037"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970"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103"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264"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091"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111"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120" w:type="dxa"/>
            <w:gridSpan w:val="2"/>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395" w:type="dxa"/>
            <w:tcBorders>
              <w:top w:val="nil"/>
              <w:left w:val="nil"/>
              <w:bottom w:val="single" w:sz="4" w:space="0" w:color="auto"/>
              <w:right w:val="single" w:sz="8" w:space="0" w:color="auto"/>
            </w:tcBorders>
            <w:shd w:val="clear" w:color="auto" w:fill="auto"/>
            <w:vAlign w:val="center"/>
          </w:tcPr>
          <w:p w:rsidR="00A87BDC" w:rsidRDefault="00D40E4A">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A87BDC">
        <w:trPr>
          <w:trHeight w:val="1340"/>
        </w:trPr>
        <w:tc>
          <w:tcPr>
            <w:tcW w:w="1671" w:type="dxa"/>
            <w:tcBorders>
              <w:top w:val="nil"/>
              <w:left w:val="single" w:sz="8" w:space="0" w:color="auto"/>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970" w:type="dxa"/>
            <w:tcBorders>
              <w:top w:val="nil"/>
              <w:left w:val="nil"/>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03" w:type="dxa"/>
            <w:tcBorders>
              <w:top w:val="nil"/>
              <w:left w:val="nil"/>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4" w:type="dxa"/>
            <w:tcBorders>
              <w:top w:val="nil"/>
              <w:left w:val="nil"/>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91" w:type="dxa"/>
            <w:tcBorders>
              <w:top w:val="nil"/>
              <w:left w:val="nil"/>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11" w:type="dxa"/>
            <w:tcBorders>
              <w:top w:val="nil"/>
              <w:left w:val="nil"/>
              <w:bottom w:val="single" w:sz="8"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20" w:type="dxa"/>
            <w:gridSpan w:val="2"/>
            <w:tcBorders>
              <w:top w:val="nil"/>
              <w:left w:val="nil"/>
              <w:bottom w:val="single" w:sz="8"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5" w:type="dxa"/>
            <w:tcBorders>
              <w:top w:val="nil"/>
              <w:left w:val="single" w:sz="4" w:space="0" w:color="auto"/>
              <w:bottom w:val="single" w:sz="8"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900"/>
        </w:trPr>
        <w:tc>
          <w:tcPr>
            <w:tcW w:w="14081" w:type="dxa"/>
            <w:gridSpan w:val="13"/>
            <w:tcBorders>
              <w:top w:val="single" w:sz="8" w:space="0" w:color="auto"/>
              <w:left w:val="nil"/>
              <w:bottom w:val="nil"/>
              <w:right w:val="nil"/>
            </w:tcBorders>
            <w:shd w:val="clear" w:color="auto" w:fill="auto"/>
            <w:vAlign w:val="center"/>
          </w:tcPr>
          <w:p w:rsidR="00A87BDC" w:rsidRDefault="00D40E4A">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A87BDC" w:rsidRDefault="00D40E4A">
            <w:r>
              <w:br w:type="page"/>
            </w:r>
          </w:p>
          <w:tbl>
            <w:tblPr>
              <w:tblW w:w="14867" w:type="dxa"/>
              <w:tblInd w:w="93" w:type="dxa"/>
              <w:tblLayout w:type="fixed"/>
              <w:tblLook w:val="04A0" w:firstRow="1" w:lastRow="0" w:firstColumn="1" w:lastColumn="0" w:noHBand="0" w:noVBand="1"/>
            </w:tblPr>
            <w:tblGrid>
              <w:gridCol w:w="14867"/>
            </w:tblGrid>
            <w:tr w:rsidR="00A87BDC">
              <w:trPr>
                <w:trHeight w:val="630"/>
              </w:trPr>
              <w:tc>
                <w:tcPr>
                  <w:tcW w:w="14867" w:type="dxa"/>
                  <w:tcBorders>
                    <w:top w:val="nil"/>
                    <w:left w:val="nil"/>
                    <w:bottom w:val="nil"/>
                    <w:right w:val="nil"/>
                  </w:tcBorders>
                  <w:shd w:val="clear" w:color="auto" w:fill="auto"/>
                  <w:vAlign w:val="center"/>
                </w:tcPr>
                <w:p w:rsidR="00A87BDC" w:rsidRDefault="00A87BDC">
                  <w:pPr>
                    <w:widowControl/>
                    <w:jc w:val="left"/>
                    <w:rPr>
                      <w:rFonts w:ascii="仿宋" w:eastAsia="仿宋" w:hAnsi="仿宋" w:cs="宋体"/>
                      <w:b/>
                      <w:kern w:val="0"/>
                      <w:sz w:val="24"/>
                      <w:szCs w:val="24"/>
                    </w:rPr>
                  </w:pPr>
                </w:p>
              </w:tc>
            </w:tr>
          </w:tbl>
          <w:p w:rsidR="00A87BDC" w:rsidRDefault="00A87BDC">
            <w:pPr>
              <w:widowControl/>
              <w:jc w:val="left"/>
              <w:rPr>
                <w:rFonts w:ascii="仿宋" w:eastAsia="仿宋" w:hAnsi="仿宋" w:cs="宋体"/>
                <w:b/>
                <w:kern w:val="0"/>
                <w:sz w:val="24"/>
                <w:szCs w:val="24"/>
              </w:rPr>
            </w:pPr>
          </w:p>
        </w:tc>
      </w:tr>
    </w:tbl>
    <w:p w:rsidR="00A87BDC" w:rsidRDefault="00D40E4A">
      <w:pPr>
        <w:widowControl/>
        <w:jc w:val="left"/>
        <w:rPr>
          <w:rFonts w:ascii="黑体" w:eastAsia="黑体" w:hAnsi="黑体"/>
          <w:sz w:val="32"/>
        </w:rPr>
      </w:pPr>
      <w:r>
        <w:rPr>
          <w:rFonts w:ascii="黑体" w:eastAsia="黑体" w:hAnsi="黑体"/>
          <w:sz w:val="32"/>
        </w:rPr>
        <w:br w:type="page"/>
      </w:r>
    </w:p>
    <w:p w:rsidR="00A87BDC" w:rsidRDefault="00D40E4A">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ayout w:type="fixed"/>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A87BDC">
        <w:trPr>
          <w:trHeight w:val="600"/>
        </w:trPr>
        <w:tc>
          <w:tcPr>
            <w:tcW w:w="14055" w:type="dxa"/>
            <w:gridSpan w:val="11"/>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A87BDC">
        <w:trPr>
          <w:trHeight w:val="222"/>
        </w:trPr>
        <w:tc>
          <w:tcPr>
            <w:tcW w:w="660"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A87BDC">
        <w:trPr>
          <w:trHeight w:val="300"/>
        </w:trPr>
        <w:tc>
          <w:tcPr>
            <w:tcW w:w="1420" w:type="dxa"/>
            <w:gridSpan w:val="2"/>
            <w:tcBorders>
              <w:top w:val="nil"/>
              <w:left w:val="nil"/>
              <w:bottom w:val="nil"/>
              <w:right w:val="nil"/>
            </w:tcBorders>
            <w:shd w:val="clear" w:color="auto" w:fill="FFFFFF"/>
            <w:noWrap/>
            <w:vAlign w:val="center"/>
          </w:tcPr>
          <w:p w:rsidR="00A87BDC" w:rsidRDefault="00D40E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A87BDC" w:rsidRDefault="00D40E4A">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87BDC" w:rsidRDefault="00D40E4A">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A87BDC" w:rsidRDefault="00D40E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87BDC">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A87BDC">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A87BDC" w:rsidRDefault="00A87BDC">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A87BDC" w:rsidRDefault="00A87BDC">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A87BDC" w:rsidRDefault="00A87BDC">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A87BDC" w:rsidRDefault="00A87BDC">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A87BDC" w:rsidRDefault="00A87BDC">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A87BDC" w:rsidRDefault="00A87BDC">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A87BDC" w:rsidRDefault="00A87BDC">
            <w:pPr>
              <w:widowControl/>
              <w:jc w:val="left"/>
              <w:rPr>
                <w:rFonts w:ascii="仿宋" w:eastAsia="仿宋" w:hAnsi="仿宋" w:cs="宋体"/>
                <w:b/>
                <w:kern w:val="0"/>
                <w:sz w:val="24"/>
                <w:szCs w:val="24"/>
              </w:rPr>
            </w:pPr>
          </w:p>
        </w:tc>
      </w:tr>
      <w:tr w:rsidR="00A87BDC">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A87BDC">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A87BDC" w:rsidRDefault="00D40E4A">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87BDC" w:rsidRDefault="00A87BDC">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A87BDC" w:rsidRDefault="00A87BDC">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A87BDC" w:rsidRDefault="00A87BDC">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A87BDC" w:rsidRDefault="00A87BDC">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A87BDC" w:rsidRDefault="00A87BD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A87BDC" w:rsidRDefault="00A87BD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A87BDC" w:rsidRDefault="00A87BDC">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A87BDC" w:rsidRDefault="00A87BDC">
            <w:pPr>
              <w:widowControl/>
              <w:jc w:val="right"/>
              <w:rPr>
                <w:rFonts w:ascii="仿宋" w:eastAsia="仿宋" w:hAnsi="仿宋" w:cs="宋体"/>
                <w:b/>
                <w:kern w:val="0"/>
                <w:sz w:val="22"/>
                <w:szCs w:val="22"/>
              </w:rPr>
            </w:pPr>
          </w:p>
        </w:tc>
      </w:tr>
      <w:tr w:rsidR="00A87BD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87BDC" w:rsidRDefault="00A87BD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87BDC" w:rsidRDefault="00D40E4A">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87BDC">
        <w:trPr>
          <w:trHeight w:val="645"/>
        </w:trPr>
        <w:tc>
          <w:tcPr>
            <w:tcW w:w="14055" w:type="dxa"/>
            <w:gridSpan w:val="11"/>
            <w:tcBorders>
              <w:top w:val="single" w:sz="8" w:space="0" w:color="auto"/>
              <w:left w:val="nil"/>
              <w:bottom w:val="nil"/>
              <w:right w:val="nil"/>
            </w:tcBorders>
            <w:shd w:val="clear" w:color="auto" w:fill="auto"/>
            <w:vAlign w:val="center"/>
          </w:tcPr>
          <w:p w:rsidR="00A87BDC" w:rsidRDefault="00D40E4A">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A87BDC" w:rsidRDefault="00A87BDC">
      <w:pPr>
        <w:jc w:val="center"/>
        <w:rPr>
          <w:rFonts w:ascii="方正小标宋简体" w:eastAsia="方正小标宋简体" w:hAnsi="方正小标宋简体"/>
          <w:sz w:val="44"/>
        </w:rPr>
        <w:sectPr w:rsidR="00A87BDC">
          <w:pgSz w:w="16838" w:h="11906" w:orient="landscape"/>
          <w:pgMar w:top="1797" w:right="1440" w:bottom="1797" w:left="1440" w:header="851" w:footer="992" w:gutter="0"/>
          <w:cols w:space="720"/>
          <w:docGrid w:linePitch="312"/>
        </w:sectPr>
      </w:pPr>
    </w:p>
    <w:p w:rsidR="00A87BDC" w:rsidRDefault="00A87BDC">
      <w:pPr>
        <w:rPr>
          <w:rFonts w:ascii="方正小标宋_GBK" w:eastAsia="方正小标宋_GBK" w:hAnsi="方正小标宋简体"/>
          <w:sz w:val="44"/>
        </w:rPr>
      </w:pPr>
    </w:p>
    <w:p w:rsidR="00A87BDC" w:rsidRDefault="00D40E4A">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A87BDC" w:rsidRDefault="00A87BDC">
      <w:pPr>
        <w:rPr>
          <w:rFonts w:ascii="仿宋" w:eastAsia="仿宋" w:hAnsi="仿宋"/>
          <w:sz w:val="32"/>
        </w:rPr>
      </w:pPr>
    </w:p>
    <w:p w:rsidR="00A87BDC" w:rsidRDefault="00D40E4A" w:rsidP="00D40E4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A87BDC" w:rsidRDefault="00D40E4A" w:rsidP="00D40E4A">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按照部门决算与部门预算相衔接的原则，决算编制内容包括预算单位的全部收支情况。收入包括：财政拨款收入、其他收入；支出包括：资源勘探信息等支出。2019年</w:t>
      </w:r>
      <w:r>
        <w:rPr>
          <w:rFonts w:ascii="仿宋" w:eastAsia="仿宋" w:hAnsi="仿宋" w:hint="eastAsia"/>
          <w:sz w:val="32"/>
          <w:szCs w:val="30"/>
        </w:rPr>
        <w:t>收入总计46.13 万元，支出总计44.01万元。</w:t>
      </w:r>
    </w:p>
    <w:p w:rsidR="00A87BDC" w:rsidRDefault="00D40E4A" w:rsidP="00D40E4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A87BDC" w:rsidRDefault="00D40E4A" w:rsidP="00D40E4A">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46.13</w:t>
      </w:r>
      <w:r>
        <w:rPr>
          <w:rFonts w:ascii="仿宋" w:eastAsia="仿宋" w:hAnsi="仿宋" w:hint="eastAsia"/>
          <w:sz w:val="32"/>
        </w:rPr>
        <w:t>万元，</w:t>
      </w:r>
      <w:r>
        <w:rPr>
          <w:rFonts w:ascii="仿宋" w:eastAsia="仿宋" w:hAnsi="仿宋" w:hint="eastAsia"/>
          <w:sz w:val="32"/>
          <w:szCs w:val="30"/>
        </w:rPr>
        <w:t>与2018年相比减少27.87万元，降低37.66 %。主要原因：财政拨款减少。</w:t>
      </w:r>
      <w:r>
        <w:rPr>
          <w:rFonts w:ascii="仿宋" w:eastAsia="仿宋" w:hAnsi="仿宋" w:hint="eastAsia"/>
          <w:sz w:val="32"/>
        </w:rPr>
        <w:t>其中：财政拨款收入</w:t>
      </w:r>
      <w:r>
        <w:rPr>
          <w:rFonts w:ascii="仿宋" w:eastAsia="仿宋" w:hAnsi="仿宋" w:hint="eastAsia"/>
          <w:sz w:val="32"/>
          <w:szCs w:val="30"/>
        </w:rPr>
        <w:t>46.10</w:t>
      </w:r>
      <w:r>
        <w:rPr>
          <w:rFonts w:ascii="仿宋" w:eastAsia="仿宋" w:hAnsi="仿宋" w:hint="eastAsia"/>
          <w:sz w:val="32"/>
        </w:rPr>
        <w:t>万元，占</w:t>
      </w:r>
      <w:r>
        <w:rPr>
          <w:rFonts w:ascii="仿宋" w:eastAsia="仿宋" w:hAnsi="仿宋" w:hint="eastAsia"/>
          <w:sz w:val="32"/>
          <w:szCs w:val="30"/>
        </w:rPr>
        <w:t xml:space="preserve">99.99 </w:t>
      </w:r>
      <w:r>
        <w:rPr>
          <w:rFonts w:ascii="仿宋" w:eastAsia="仿宋" w:hAnsi="仿宋" w:hint="eastAsia"/>
          <w:sz w:val="32"/>
        </w:rPr>
        <w:t>%；其他收入0.03万元，占0.01%。</w:t>
      </w:r>
      <w:bookmarkStart w:id="6" w:name="_GoBack"/>
      <w:bookmarkEnd w:id="6"/>
    </w:p>
    <w:p w:rsidR="00A87BDC" w:rsidRDefault="00D40E4A" w:rsidP="00D40E4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A87BDC" w:rsidRDefault="00D40E4A" w:rsidP="00D40E4A">
      <w:pPr>
        <w:spacing w:line="560" w:lineRule="exact"/>
        <w:rPr>
          <w:rFonts w:ascii="仿宋" w:eastAsia="仿宋" w:hAnsi="仿宋"/>
          <w:sz w:val="32"/>
        </w:rPr>
      </w:pPr>
      <w:r>
        <w:rPr>
          <w:rFonts w:ascii="仿宋" w:eastAsia="仿宋" w:hAnsi="仿宋" w:hint="eastAsia"/>
          <w:sz w:val="32"/>
        </w:rPr>
        <w:t xml:space="preserve">    本年支出合计</w:t>
      </w:r>
      <w:r>
        <w:rPr>
          <w:rFonts w:ascii="仿宋" w:eastAsia="仿宋" w:hAnsi="仿宋" w:hint="eastAsia"/>
          <w:sz w:val="32"/>
          <w:szCs w:val="30"/>
        </w:rPr>
        <w:t>44.01</w:t>
      </w:r>
      <w:r>
        <w:rPr>
          <w:rFonts w:ascii="仿宋" w:eastAsia="仿宋" w:hAnsi="仿宋" w:hint="eastAsia"/>
          <w:sz w:val="32"/>
        </w:rPr>
        <w:t>万元，</w:t>
      </w:r>
      <w:r>
        <w:rPr>
          <w:rFonts w:ascii="仿宋" w:eastAsia="仿宋" w:hAnsi="仿宋" w:hint="eastAsia"/>
          <w:sz w:val="32"/>
          <w:szCs w:val="30"/>
        </w:rPr>
        <w:t>与2018年相比减少29.99万元，降低40.53%。主要原因：根据实际办公需求支出。</w:t>
      </w:r>
      <w:r>
        <w:rPr>
          <w:rFonts w:ascii="仿宋" w:eastAsia="仿宋" w:hAnsi="仿宋" w:hint="eastAsia"/>
          <w:sz w:val="32"/>
        </w:rPr>
        <w:t>其中：基本支出</w:t>
      </w:r>
      <w:r>
        <w:rPr>
          <w:rFonts w:ascii="仿宋" w:eastAsia="仿宋" w:hAnsi="仿宋" w:hint="eastAsia"/>
          <w:sz w:val="32"/>
          <w:szCs w:val="30"/>
        </w:rPr>
        <w:t>31.50</w:t>
      </w:r>
      <w:r>
        <w:rPr>
          <w:rFonts w:ascii="仿宋" w:eastAsia="仿宋" w:hAnsi="仿宋" w:hint="eastAsia"/>
          <w:sz w:val="32"/>
        </w:rPr>
        <w:t>万元，占72%；项目支出</w:t>
      </w:r>
      <w:r>
        <w:rPr>
          <w:rFonts w:ascii="仿宋" w:eastAsia="仿宋" w:hAnsi="仿宋" w:hint="eastAsia"/>
          <w:sz w:val="32"/>
          <w:szCs w:val="30"/>
        </w:rPr>
        <w:t>12.51</w:t>
      </w:r>
      <w:r>
        <w:rPr>
          <w:rFonts w:ascii="仿宋" w:eastAsia="仿宋" w:hAnsi="仿宋" w:hint="eastAsia"/>
          <w:sz w:val="32"/>
        </w:rPr>
        <w:t>万元，占</w:t>
      </w:r>
      <w:r>
        <w:rPr>
          <w:rFonts w:ascii="仿宋" w:eastAsia="仿宋" w:hAnsi="仿宋" w:hint="eastAsia"/>
          <w:sz w:val="32"/>
          <w:szCs w:val="30"/>
        </w:rPr>
        <w:t>28</w:t>
      </w:r>
      <w:r>
        <w:rPr>
          <w:rFonts w:ascii="仿宋" w:eastAsia="仿宋" w:hAnsi="仿宋" w:hint="eastAsia"/>
          <w:sz w:val="32"/>
        </w:rPr>
        <w:t>%；。基本支出中，人员经费30.14万元，占96%；公用经费1.36万元，占0.04%。</w:t>
      </w:r>
    </w:p>
    <w:p w:rsidR="00A87BDC" w:rsidRDefault="00D40E4A" w:rsidP="00D40E4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A87BDC" w:rsidRDefault="00D40E4A" w:rsidP="00D40E4A">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2019年财政拨款收入46.10万元,支出44.01万元，比2018年分别减少27.88万元、29.99万元，降低37.69%、降低40.53%。主要原因：根据实际办公需求支出。</w:t>
      </w:r>
    </w:p>
    <w:p w:rsidR="00A87BDC" w:rsidRDefault="00D40E4A" w:rsidP="00D40E4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A87BDC" w:rsidRDefault="00D40E4A" w:rsidP="00D40E4A">
      <w:pPr>
        <w:spacing w:line="560" w:lineRule="exact"/>
        <w:rPr>
          <w:rFonts w:ascii="楷体" w:eastAsia="楷体" w:hAnsi="楷体"/>
          <w:b/>
          <w:bCs/>
          <w:sz w:val="32"/>
        </w:rPr>
      </w:pPr>
      <w:r>
        <w:rPr>
          <w:rFonts w:ascii="楷体" w:eastAsia="楷体" w:hAnsi="楷体" w:hint="eastAsia"/>
          <w:sz w:val="32"/>
        </w:rPr>
        <w:lastRenderedPageBreak/>
        <w:t xml:space="preserve">    </w:t>
      </w:r>
      <w:r>
        <w:rPr>
          <w:rFonts w:ascii="楷体" w:eastAsia="楷体" w:hAnsi="楷体" w:hint="eastAsia"/>
          <w:b/>
          <w:bCs/>
          <w:sz w:val="32"/>
        </w:rPr>
        <w:t>（一）财政拨款支出决算总体情况</w:t>
      </w:r>
    </w:p>
    <w:p w:rsidR="00A87BDC" w:rsidRDefault="00D40E4A" w:rsidP="00D40E4A">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2019年财政拨款支出44.01万元，占本年支出合计的100%。与2018年相比，财政拨款支出减少29.99万元，降低40.53%。主要原因：根据实际办公需求支出。</w:t>
      </w:r>
    </w:p>
    <w:p w:rsidR="00A87BDC" w:rsidRDefault="00D40E4A" w:rsidP="00D40E4A">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A87BDC" w:rsidRDefault="00D40E4A" w:rsidP="00D40E4A">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w:t>
      </w:r>
      <w:r>
        <w:rPr>
          <w:rFonts w:ascii="仿宋" w:eastAsia="仿宋" w:hAnsi="仿宋" w:hint="eastAsia"/>
          <w:sz w:val="32"/>
        </w:rPr>
        <w:t>资源勘探信息等支出</w:t>
      </w:r>
      <w:r>
        <w:rPr>
          <w:rFonts w:ascii="仿宋" w:eastAsia="仿宋" w:hAnsi="仿宋" w:hint="eastAsia"/>
          <w:sz w:val="32"/>
          <w:szCs w:val="30"/>
        </w:rPr>
        <w:t>44.01万元，占100%。</w:t>
      </w:r>
    </w:p>
    <w:p w:rsidR="00A87BDC" w:rsidRDefault="00D40E4A" w:rsidP="00D40E4A">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A87BDC" w:rsidRDefault="00D40E4A" w:rsidP="00D40E4A">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2019年财政拨款支出年初预算为42.10万元，支出决算为46.10万元，完成年初预算的110%。主要原因：根据实际办公需求支出。</w:t>
      </w:r>
    </w:p>
    <w:p w:rsidR="00A87BDC" w:rsidRDefault="00D40E4A" w:rsidP="00D40E4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A87BDC" w:rsidRDefault="00D40E4A" w:rsidP="00D40E4A">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31.50万元，其中：人员经费30.14万元，主要包括：基本工资13.31万元、津贴补贴0.39万元、奖金0.20万元、其他社会保障缴费0.14万元、绩效工资0.55万元、机关事业单位基本养老保险缴费3.83万元、职工基本医疗保险费1.45万元、退休费7.64万元、住房公积金2.63万元。</w:t>
      </w:r>
    </w:p>
    <w:p w:rsidR="00A87BDC" w:rsidRDefault="00D40E4A" w:rsidP="00D40E4A">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1.36</w:t>
      </w:r>
      <w:r>
        <w:rPr>
          <w:rFonts w:ascii="仿宋" w:eastAsia="仿宋" w:hAnsi="仿宋" w:hint="eastAsia"/>
          <w:sz w:val="32"/>
        </w:rPr>
        <w:t>万元，主要包括：办公费0.46、印刷费0.26</w:t>
      </w:r>
      <w:r>
        <w:rPr>
          <w:rFonts w:ascii="仿宋" w:eastAsia="仿宋" w:hAnsi="仿宋" w:hint="eastAsia"/>
          <w:sz w:val="32"/>
          <w:szCs w:val="30"/>
        </w:rPr>
        <w:t>万元</w:t>
      </w:r>
      <w:r>
        <w:rPr>
          <w:rFonts w:ascii="仿宋" w:eastAsia="仿宋" w:hAnsi="仿宋" w:hint="eastAsia"/>
          <w:sz w:val="32"/>
        </w:rPr>
        <w:t>、手续费0.01</w:t>
      </w:r>
      <w:r>
        <w:rPr>
          <w:rFonts w:ascii="仿宋" w:eastAsia="仿宋" w:hAnsi="仿宋" w:hint="eastAsia"/>
          <w:sz w:val="32"/>
          <w:szCs w:val="30"/>
        </w:rPr>
        <w:t>万元</w:t>
      </w:r>
      <w:r>
        <w:rPr>
          <w:rFonts w:ascii="仿宋" w:eastAsia="仿宋" w:hAnsi="仿宋" w:hint="eastAsia"/>
          <w:sz w:val="32"/>
        </w:rPr>
        <w:t>、水费0.06</w:t>
      </w:r>
      <w:r>
        <w:rPr>
          <w:rFonts w:ascii="仿宋" w:eastAsia="仿宋" w:hAnsi="仿宋" w:hint="eastAsia"/>
          <w:sz w:val="32"/>
          <w:szCs w:val="30"/>
        </w:rPr>
        <w:t>万元</w:t>
      </w:r>
      <w:r>
        <w:rPr>
          <w:rFonts w:ascii="仿宋" w:eastAsia="仿宋" w:hAnsi="仿宋" w:hint="eastAsia"/>
          <w:sz w:val="32"/>
        </w:rPr>
        <w:t>、邮电费0.53</w:t>
      </w:r>
      <w:r>
        <w:rPr>
          <w:rFonts w:ascii="仿宋" w:eastAsia="仿宋" w:hAnsi="仿宋" w:hint="eastAsia"/>
          <w:sz w:val="32"/>
          <w:szCs w:val="30"/>
        </w:rPr>
        <w:t>万元</w:t>
      </w:r>
      <w:r>
        <w:rPr>
          <w:rFonts w:ascii="仿宋" w:eastAsia="仿宋" w:hAnsi="仿宋" w:hint="eastAsia"/>
          <w:sz w:val="32"/>
        </w:rPr>
        <w:t>、其他商品和服务支出0.04</w:t>
      </w:r>
      <w:r>
        <w:rPr>
          <w:rFonts w:ascii="仿宋" w:eastAsia="仿宋" w:hAnsi="仿宋" w:hint="eastAsia"/>
          <w:sz w:val="32"/>
          <w:szCs w:val="30"/>
        </w:rPr>
        <w:t>万元</w:t>
      </w:r>
      <w:r>
        <w:rPr>
          <w:rFonts w:ascii="仿宋" w:eastAsia="仿宋" w:hAnsi="仿宋" w:hint="eastAsia"/>
          <w:sz w:val="32"/>
        </w:rPr>
        <w:t>。</w:t>
      </w:r>
    </w:p>
    <w:p w:rsidR="00A87BDC" w:rsidRDefault="00D40E4A" w:rsidP="00D40E4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A87BDC" w:rsidRDefault="00D40E4A" w:rsidP="00D40E4A">
      <w:pPr>
        <w:spacing w:line="560" w:lineRule="exact"/>
        <w:ind w:firstLineChars="200" w:firstLine="643"/>
        <w:rPr>
          <w:rFonts w:ascii="楷体" w:eastAsia="楷体" w:hAnsi="楷体"/>
          <w:b/>
          <w:sz w:val="32"/>
        </w:rPr>
      </w:pPr>
      <w:r>
        <w:rPr>
          <w:rFonts w:ascii="楷体" w:eastAsia="楷体" w:hAnsi="楷体" w:hint="eastAsia"/>
          <w:b/>
          <w:sz w:val="32"/>
        </w:rPr>
        <w:lastRenderedPageBreak/>
        <w:t>（一）“三公”经费财政拨款支出决算总体情况说明</w:t>
      </w:r>
    </w:p>
    <w:p w:rsidR="00A87BDC" w:rsidRDefault="00D40E4A" w:rsidP="00D40E4A">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2019年“三公”经费财政拨款支出预算为0.00万元，支出决算为0.00万元。</w:t>
      </w:r>
    </w:p>
    <w:p w:rsidR="00A87BDC" w:rsidRDefault="00D40E4A" w:rsidP="00D40E4A">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2019年“三公”经费财政拨款支出决算数比2018年增加0.00万元，增长0.00%。。</w:t>
      </w:r>
    </w:p>
    <w:p w:rsidR="00A87BDC" w:rsidRDefault="00D40E4A" w:rsidP="00D40E4A">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A87BDC" w:rsidRDefault="00D40E4A" w:rsidP="00D40E4A">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1.因公出国（境）费支出为0.00万元。全年安排因公出国（境）团组0.00个，累计0.00人次。</w:t>
      </w:r>
    </w:p>
    <w:p w:rsidR="00A87BDC" w:rsidRDefault="00D40E4A" w:rsidP="00D40E4A">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2.公务用车购置及运行费支出0.00万元。</w:t>
      </w:r>
    </w:p>
    <w:p w:rsidR="00A87BDC" w:rsidRDefault="00D40E4A" w:rsidP="00D40E4A">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w:t>
      </w:r>
    </w:p>
    <w:p w:rsidR="00A87BDC" w:rsidRDefault="00D40E4A" w:rsidP="00D40E4A">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A87BDC" w:rsidRDefault="00D40E4A" w:rsidP="00D40E4A">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2019年政府性基金年初结转和结余0.00万元；本年收入0.00万元；本年支出0.00万元；年末结转和结余 0.00万元。</w:t>
      </w:r>
    </w:p>
    <w:p w:rsidR="00A87BDC" w:rsidRDefault="00D40E4A" w:rsidP="00D40E4A">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A87BDC" w:rsidRDefault="00D40E4A" w:rsidP="00D40E4A">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A87BDC" w:rsidRDefault="00D40E4A" w:rsidP="00D40E4A">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0.00</w:t>
      </w:r>
      <w:r>
        <w:rPr>
          <w:rFonts w:ascii="仿宋" w:eastAsia="仿宋" w:hAnsi="仿宋" w:hint="eastAsia"/>
          <w:sz w:val="32"/>
        </w:rPr>
        <w:t>万元。</w:t>
      </w:r>
    </w:p>
    <w:p w:rsidR="00A87BDC" w:rsidRDefault="00D40E4A" w:rsidP="00D40E4A">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A87BDC" w:rsidRDefault="00D40E4A" w:rsidP="00D40E4A">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w:t>
      </w:r>
    </w:p>
    <w:p w:rsidR="00A87BDC" w:rsidRDefault="00D40E4A" w:rsidP="00D40E4A">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A87BDC" w:rsidRDefault="00D40E4A" w:rsidP="00D40E4A">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0.00</w:t>
      </w:r>
      <w:r>
        <w:rPr>
          <w:rFonts w:ascii="仿宋" w:eastAsia="仿宋" w:hAnsi="仿宋" w:hint="eastAsia"/>
          <w:sz w:val="32"/>
        </w:rPr>
        <w:t>辆</w:t>
      </w:r>
      <w:r>
        <w:rPr>
          <w:rFonts w:ascii="仿宋" w:eastAsia="仿宋" w:hAnsi="仿宋" w:hint="eastAsia"/>
          <w:sz w:val="32"/>
          <w:szCs w:val="30"/>
        </w:rPr>
        <w:t>。</w:t>
      </w:r>
    </w:p>
    <w:p w:rsidR="00A87BDC" w:rsidRDefault="00D40E4A" w:rsidP="00D40E4A">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A87BDC" w:rsidRDefault="00D40E4A" w:rsidP="00D40E4A">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A87BDC" w:rsidRDefault="00A87BDC" w:rsidP="00D40E4A">
      <w:pPr>
        <w:spacing w:line="560" w:lineRule="exact"/>
        <w:ind w:firstLineChars="200" w:firstLine="640"/>
        <w:rPr>
          <w:rFonts w:ascii="仿宋" w:eastAsia="仿宋" w:hAnsi="仿宋"/>
          <w:sz w:val="32"/>
        </w:rPr>
      </w:pPr>
    </w:p>
    <w:p w:rsidR="00055665" w:rsidRPr="00055665" w:rsidRDefault="00055665" w:rsidP="00055665">
      <w:pPr>
        <w:spacing w:line="560" w:lineRule="exact"/>
        <w:ind w:firstLineChars="200" w:firstLine="643"/>
        <w:rPr>
          <w:rFonts w:ascii="仿宋" w:eastAsia="仿宋" w:hAnsi="仿宋"/>
          <w:sz w:val="32"/>
        </w:rPr>
      </w:pPr>
      <w:r w:rsidRPr="00055665">
        <w:rPr>
          <w:rFonts w:ascii="仿宋" w:eastAsia="仿宋" w:hAnsi="仿宋" w:hint="eastAsia"/>
          <w:b/>
          <w:bCs/>
          <w:sz w:val="32"/>
        </w:rPr>
        <w:t>一、财政拨款收入：</w:t>
      </w:r>
      <w:r w:rsidRPr="00055665">
        <w:rPr>
          <w:rFonts w:ascii="仿宋" w:eastAsia="仿宋" w:hAnsi="仿宋" w:hint="eastAsia"/>
          <w:sz w:val="32"/>
        </w:rPr>
        <w:t>指区级财政当年拨付的资金。</w:t>
      </w:r>
    </w:p>
    <w:p w:rsidR="00055665" w:rsidRPr="00055665" w:rsidRDefault="00055665" w:rsidP="00055665">
      <w:pPr>
        <w:autoSpaceDN w:val="0"/>
        <w:spacing w:line="560" w:lineRule="exact"/>
        <w:ind w:firstLineChars="200" w:firstLine="643"/>
        <w:rPr>
          <w:rFonts w:ascii="仿宋" w:eastAsia="仿宋" w:hAnsi="仿宋"/>
          <w:sz w:val="32"/>
        </w:rPr>
      </w:pPr>
      <w:r w:rsidRPr="00055665">
        <w:rPr>
          <w:rFonts w:ascii="仿宋" w:eastAsia="仿宋" w:hAnsi="仿宋" w:hint="eastAsia"/>
          <w:b/>
          <w:bCs/>
          <w:sz w:val="32"/>
        </w:rPr>
        <w:t>二、其他收入：</w:t>
      </w:r>
      <w:r w:rsidRPr="00055665">
        <w:rPr>
          <w:rFonts w:ascii="仿宋" w:eastAsia="仿宋" w:hAnsi="仿宋" w:hint="eastAsia"/>
          <w:sz w:val="32"/>
        </w:rPr>
        <w:t>指除上述收入以外的各项收入，本系统其他收入为银行存款利息收入。</w:t>
      </w:r>
    </w:p>
    <w:p w:rsidR="00055665" w:rsidRPr="00055665" w:rsidRDefault="00055665" w:rsidP="00055665">
      <w:pPr>
        <w:autoSpaceDN w:val="0"/>
        <w:spacing w:line="560" w:lineRule="exact"/>
        <w:ind w:firstLineChars="200" w:firstLine="643"/>
        <w:rPr>
          <w:rFonts w:ascii="仿宋" w:eastAsia="仿宋" w:hAnsi="仿宋"/>
          <w:sz w:val="32"/>
        </w:rPr>
      </w:pPr>
      <w:r w:rsidRPr="00055665">
        <w:rPr>
          <w:rFonts w:ascii="仿宋" w:eastAsia="仿宋" w:hAnsi="仿宋" w:hint="eastAsia"/>
          <w:b/>
          <w:bCs/>
          <w:sz w:val="32"/>
        </w:rPr>
        <w:t>三、基本支出：</w:t>
      </w:r>
      <w:r w:rsidRPr="00055665">
        <w:rPr>
          <w:rFonts w:ascii="仿宋" w:eastAsia="仿宋" w:hAnsi="仿宋" w:hint="eastAsia"/>
          <w:sz w:val="32"/>
        </w:rPr>
        <w:t>指为保障机构正常运转、完成日常工作任务而发生的人员支出和公用支出等各项支出。</w:t>
      </w:r>
    </w:p>
    <w:p w:rsidR="00055665" w:rsidRPr="00055665" w:rsidRDefault="00055665" w:rsidP="00055665">
      <w:pPr>
        <w:autoSpaceDN w:val="0"/>
        <w:spacing w:line="560" w:lineRule="exact"/>
        <w:ind w:firstLineChars="200" w:firstLine="643"/>
        <w:rPr>
          <w:rFonts w:ascii="仿宋" w:eastAsia="仿宋" w:hAnsi="仿宋"/>
          <w:sz w:val="32"/>
        </w:rPr>
      </w:pPr>
      <w:r w:rsidRPr="00055665">
        <w:rPr>
          <w:rFonts w:ascii="仿宋" w:eastAsia="仿宋" w:hAnsi="仿宋" w:hint="eastAsia"/>
          <w:b/>
          <w:bCs/>
          <w:sz w:val="32"/>
        </w:rPr>
        <w:t>四、项目支出：</w:t>
      </w:r>
      <w:r w:rsidRPr="00055665">
        <w:rPr>
          <w:rFonts w:ascii="仿宋" w:eastAsia="仿宋" w:hAnsi="仿宋" w:hint="eastAsia"/>
          <w:sz w:val="32"/>
        </w:rPr>
        <w:t>指在基本支出之外为完成特定行政工作任务和事业发展目标所发生的各项支出。</w:t>
      </w:r>
    </w:p>
    <w:p w:rsidR="00055665" w:rsidRPr="00055665" w:rsidRDefault="00055665" w:rsidP="00055665">
      <w:pPr>
        <w:autoSpaceDN w:val="0"/>
        <w:spacing w:line="560" w:lineRule="exact"/>
        <w:ind w:firstLineChars="200" w:firstLine="643"/>
        <w:rPr>
          <w:rFonts w:ascii="仿宋" w:eastAsia="仿宋" w:hAnsi="仿宋"/>
          <w:sz w:val="32"/>
        </w:rPr>
      </w:pPr>
      <w:r w:rsidRPr="00055665">
        <w:rPr>
          <w:rFonts w:ascii="仿宋" w:eastAsia="仿宋" w:hAnsi="仿宋" w:hint="eastAsia"/>
          <w:b/>
          <w:bCs/>
          <w:sz w:val="32"/>
        </w:rPr>
        <w:t>五、对附属单位补助支出：</w:t>
      </w:r>
      <w:r w:rsidRPr="00055665">
        <w:rPr>
          <w:rFonts w:ascii="仿宋" w:eastAsia="仿宋" w:hAnsi="仿宋" w:hint="eastAsia"/>
          <w:sz w:val="32"/>
        </w:rPr>
        <w:t>指纳入</w:t>
      </w:r>
      <w:r w:rsidRPr="00055665">
        <w:rPr>
          <w:rFonts w:ascii="仿宋" w:eastAsia="仿宋" w:hAnsi="仿宋" w:hint="eastAsia"/>
          <w:sz w:val="32"/>
          <w:szCs w:val="30"/>
        </w:rPr>
        <w:t>长春市双阳区</w:t>
      </w:r>
      <w:proofErr w:type="gramStart"/>
      <w:r w:rsidRPr="00055665">
        <w:rPr>
          <w:rFonts w:ascii="仿宋" w:eastAsia="仿宋" w:hAnsi="仿宋" w:hint="eastAsia"/>
          <w:sz w:val="32"/>
          <w:szCs w:val="30"/>
        </w:rPr>
        <w:t>人社系统</w:t>
      </w:r>
      <w:proofErr w:type="gramEnd"/>
      <w:r w:rsidRPr="00055665">
        <w:rPr>
          <w:rFonts w:ascii="仿宋" w:eastAsia="仿宋" w:hAnsi="仿宋" w:hint="eastAsia"/>
          <w:sz w:val="32"/>
          <w:szCs w:val="30"/>
        </w:rPr>
        <w:t>部门预算的</w:t>
      </w:r>
      <w:r w:rsidRPr="00055665">
        <w:rPr>
          <w:rFonts w:ascii="仿宋" w:eastAsia="仿宋" w:hAnsi="仿宋" w:hint="eastAsia"/>
          <w:sz w:val="32"/>
        </w:rPr>
        <w:t>事业单位用财政补助收入之外的收入对附属单位补助发生的支出。</w:t>
      </w:r>
    </w:p>
    <w:p w:rsidR="00055665" w:rsidRPr="00055665" w:rsidRDefault="00055665" w:rsidP="00055665">
      <w:pPr>
        <w:autoSpaceDN w:val="0"/>
        <w:spacing w:line="560" w:lineRule="exact"/>
        <w:ind w:firstLineChars="200" w:firstLine="643"/>
        <w:rPr>
          <w:rFonts w:ascii="仿宋" w:eastAsia="仿宋" w:hAnsi="仿宋"/>
          <w:sz w:val="32"/>
        </w:rPr>
      </w:pPr>
      <w:r w:rsidRPr="00055665">
        <w:rPr>
          <w:rFonts w:ascii="仿宋" w:eastAsia="仿宋" w:hAnsi="仿宋" w:hint="eastAsia"/>
          <w:b/>
          <w:bCs/>
          <w:sz w:val="32"/>
        </w:rPr>
        <w:t>六、用事业基金弥补收支差额：</w:t>
      </w:r>
      <w:r w:rsidRPr="00055665">
        <w:rPr>
          <w:rFonts w:ascii="仿宋" w:eastAsia="仿宋" w:hAnsi="仿宋" w:hint="eastAsia"/>
          <w:sz w:val="32"/>
        </w:rPr>
        <w:t>指事业单位在用当年的财政拨款收入、财政拨款结转和结余资金、事业收入和其他收入不足以安排当年支出的情况下，使用以前年度积累的事业基金（事业单位当年收支相抵后分配用于弥补以后年度收支差额的基金）弥补本年度收支缺口的资金。</w:t>
      </w:r>
    </w:p>
    <w:p w:rsidR="00055665" w:rsidRPr="00055665" w:rsidRDefault="00055665" w:rsidP="00055665">
      <w:pPr>
        <w:autoSpaceDN w:val="0"/>
        <w:spacing w:line="560" w:lineRule="exact"/>
        <w:ind w:firstLineChars="200" w:firstLine="643"/>
        <w:rPr>
          <w:rFonts w:ascii="仿宋" w:eastAsia="仿宋" w:hAnsi="仿宋"/>
          <w:sz w:val="32"/>
        </w:rPr>
      </w:pPr>
      <w:r w:rsidRPr="00055665">
        <w:rPr>
          <w:rFonts w:ascii="仿宋" w:eastAsia="仿宋" w:hAnsi="仿宋" w:hint="eastAsia"/>
          <w:b/>
          <w:bCs/>
          <w:sz w:val="32"/>
        </w:rPr>
        <w:t>七、年初结转和结余：</w:t>
      </w:r>
      <w:r w:rsidRPr="00055665">
        <w:rPr>
          <w:rFonts w:ascii="仿宋" w:eastAsia="仿宋" w:hAnsi="仿宋" w:hint="eastAsia"/>
          <w:sz w:val="32"/>
        </w:rPr>
        <w:t>指以前年度尚未完成、结转到本年仍按原规定用途继续使用的资金，或项目已完成等产生的结余资金。</w:t>
      </w:r>
    </w:p>
    <w:p w:rsidR="00055665" w:rsidRPr="00055665" w:rsidRDefault="00055665" w:rsidP="00055665">
      <w:pPr>
        <w:autoSpaceDN w:val="0"/>
        <w:spacing w:line="560" w:lineRule="exact"/>
        <w:ind w:firstLineChars="200" w:firstLine="643"/>
        <w:rPr>
          <w:rFonts w:ascii="仿宋" w:eastAsia="仿宋" w:hAnsi="仿宋"/>
          <w:sz w:val="32"/>
        </w:rPr>
      </w:pPr>
      <w:r w:rsidRPr="00055665">
        <w:rPr>
          <w:rFonts w:ascii="仿宋" w:eastAsia="仿宋" w:hAnsi="仿宋" w:hint="eastAsia"/>
          <w:b/>
          <w:bCs/>
          <w:sz w:val="32"/>
        </w:rPr>
        <w:t>八、结余分配：</w:t>
      </w:r>
      <w:r w:rsidRPr="00055665">
        <w:rPr>
          <w:rFonts w:ascii="仿宋" w:eastAsia="仿宋" w:hAnsi="仿宋" w:hint="eastAsia"/>
          <w:sz w:val="32"/>
        </w:rPr>
        <w:t>指事业单位按照事业单位会计制度规定，从非财政补助结余中分配的事业基金和职工福利基金等。</w:t>
      </w:r>
    </w:p>
    <w:p w:rsidR="00055665" w:rsidRPr="00055665" w:rsidRDefault="00055665" w:rsidP="00055665">
      <w:pPr>
        <w:autoSpaceDN w:val="0"/>
        <w:spacing w:line="560" w:lineRule="exact"/>
        <w:ind w:firstLineChars="200" w:firstLine="643"/>
        <w:rPr>
          <w:rFonts w:ascii="仿宋" w:eastAsia="仿宋" w:hAnsi="仿宋"/>
          <w:sz w:val="32"/>
        </w:rPr>
      </w:pPr>
      <w:r w:rsidRPr="00055665">
        <w:rPr>
          <w:rFonts w:ascii="仿宋" w:eastAsia="仿宋" w:hAnsi="仿宋" w:hint="eastAsia"/>
          <w:b/>
          <w:bCs/>
          <w:sz w:val="32"/>
        </w:rPr>
        <w:t>九、年末结转和结余：</w:t>
      </w:r>
      <w:r w:rsidRPr="00055665">
        <w:rPr>
          <w:rFonts w:ascii="仿宋" w:eastAsia="仿宋" w:hAnsi="仿宋" w:hint="eastAsia"/>
          <w:sz w:val="32"/>
        </w:rPr>
        <w:t>指事业单位按有关规定结转到下年或以后年度继续使用的资金，或项目已完成等产生的结余</w:t>
      </w:r>
      <w:r w:rsidRPr="00055665">
        <w:rPr>
          <w:rFonts w:ascii="仿宋" w:eastAsia="仿宋" w:hAnsi="仿宋" w:hint="eastAsia"/>
          <w:sz w:val="32"/>
        </w:rPr>
        <w:lastRenderedPageBreak/>
        <w:t>资金。</w:t>
      </w:r>
    </w:p>
    <w:p w:rsidR="00055665" w:rsidRPr="00055665" w:rsidRDefault="00055665" w:rsidP="00055665">
      <w:pPr>
        <w:autoSpaceDN w:val="0"/>
        <w:spacing w:line="560" w:lineRule="exact"/>
        <w:ind w:firstLineChars="200" w:firstLine="643"/>
        <w:rPr>
          <w:rFonts w:ascii="仿宋" w:eastAsia="仿宋" w:hAnsi="仿宋"/>
          <w:sz w:val="32"/>
        </w:rPr>
      </w:pPr>
      <w:r w:rsidRPr="00055665">
        <w:rPr>
          <w:rFonts w:ascii="仿宋" w:eastAsia="仿宋" w:hAnsi="仿宋" w:hint="eastAsia"/>
          <w:b/>
          <w:bCs/>
          <w:sz w:val="32"/>
        </w:rPr>
        <w:t>十、“三公”经费财政拨款支出：</w:t>
      </w:r>
      <w:r w:rsidRPr="00055665">
        <w:rPr>
          <w:rFonts w:ascii="仿宋" w:eastAsia="仿宋"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w:t>
      </w:r>
      <w:proofErr w:type="gramStart"/>
      <w:r w:rsidRPr="00055665">
        <w:rPr>
          <w:rFonts w:ascii="仿宋" w:eastAsia="仿宋" w:hAnsi="仿宋" w:hint="eastAsia"/>
          <w:sz w:val="32"/>
        </w:rPr>
        <w:t>含车辆</w:t>
      </w:r>
      <w:proofErr w:type="gramEnd"/>
      <w:r w:rsidRPr="00055665">
        <w:rPr>
          <w:rFonts w:ascii="仿宋" w:eastAsia="仿宋" w:hAnsi="仿宋" w:hint="eastAsia"/>
          <w:sz w:val="32"/>
        </w:rPr>
        <w:t>购置税）及公务用车使用过程中所发生的租用费、燃料费、维修费、过桥过路费、保险费、安全奖励费等支出；公务接待费指单位按规定开支的各类公务接待（含外宾接待）支出。</w:t>
      </w:r>
    </w:p>
    <w:p w:rsidR="00055665" w:rsidRPr="00055665" w:rsidRDefault="00055665" w:rsidP="00055665">
      <w:pPr>
        <w:spacing w:line="560" w:lineRule="exact"/>
        <w:ind w:firstLineChars="200" w:firstLine="643"/>
        <w:rPr>
          <w:rFonts w:ascii="仿宋" w:eastAsia="仿宋" w:hAnsi="仿宋"/>
          <w:sz w:val="32"/>
        </w:rPr>
      </w:pPr>
      <w:r w:rsidRPr="00055665">
        <w:rPr>
          <w:rFonts w:ascii="仿宋" w:eastAsia="仿宋" w:hAnsi="仿宋" w:hint="eastAsia"/>
          <w:b/>
          <w:bCs/>
          <w:sz w:val="32"/>
        </w:rPr>
        <w:t>十一、机关运行经费：</w:t>
      </w:r>
      <w:r w:rsidRPr="00055665">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87BDC" w:rsidRPr="00055665" w:rsidRDefault="00A87BDC" w:rsidP="00055665">
      <w:pPr>
        <w:spacing w:line="560" w:lineRule="exact"/>
        <w:ind w:firstLineChars="200" w:firstLine="643"/>
        <w:rPr>
          <w:rFonts w:ascii="仿宋" w:eastAsia="仿宋" w:hAnsi="仿宋"/>
          <w:b/>
          <w:sz w:val="32"/>
        </w:rPr>
      </w:pPr>
    </w:p>
    <w:sectPr w:rsidR="00A87BDC" w:rsidRPr="00055665">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35" w:rsidRDefault="005E4D35">
      <w:r>
        <w:separator/>
      </w:r>
    </w:p>
  </w:endnote>
  <w:endnote w:type="continuationSeparator" w:id="0">
    <w:p w:rsidR="005E4D35" w:rsidRDefault="005E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4A" w:rsidRDefault="00D40E4A">
    <w:pPr>
      <w:pStyle w:val="a3"/>
      <w:framePr w:wrap="around" w:vAnchor="text" w:hAnchor="margin" w:xAlign="center" w:yAlign="top"/>
    </w:pPr>
    <w:r>
      <w:fldChar w:fldCharType="begin"/>
    </w:r>
    <w:r>
      <w:rPr>
        <w:rStyle w:val="a6"/>
      </w:rPr>
      <w:instrText xml:space="preserve"> PAGE  </w:instrText>
    </w:r>
    <w:r>
      <w:fldChar w:fldCharType="separate"/>
    </w:r>
    <w:r w:rsidR="00290236">
      <w:rPr>
        <w:rStyle w:val="a6"/>
        <w:noProof/>
      </w:rPr>
      <w:t>19</w:t>
    </w:r>
    <w:r>
      <w:fldChar w:fldCharType="end"/>
    </w:r>
  </w:p>
  <w:p w:rsidR="00D40E4A" w:rsidRDefault="00D40E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35" w:rsidRDefault="005E4D35">
      <w:r>
        <w:separator/>
      </w:r>
    </w:p>
  </w:footnote>
  <w:footnote w:type="continuationSeparator" w:id="0">
    <w:p w:rsidR="005E4D35" w:rsidRDefault="005E4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55665"/>
    <w:rsid w:val="000C6C9E"/>
    <w:rsid w:val="000D126F"/>
    <w:rsid w:val="000D7A6A"/>
    <w:rsid w:val="000E200E"/>
    <w:rsid w:val="00172A27"/>
    <w:rsid w:val="001847E4"/>
    <w:rsid w:val="00191A57"/>
    <w:rsid w:val="001A4118"/>
    <w:rsid w:val="001B3BDF"/>
    <w:rsid w:val="001E033D"/>
    <w:rsid w:val="0025506F"/>
    <w:rsid w:val="00290236"/>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5E4D35"/>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87BDC"/>
    <w:rsid w:val="00AB5BCA"/>
    <w:rsid w:val="00B4011C"/>
    <w:rsid w:val="00B475BE"/>
    <w:rsid w:val="00B65922"/>
    <w:rsid w:val="00B66197"/>
    <w:rsid w:val="00BA29E3"/>
    <w:rsid w:val="00BB3F26"/>
    <w:rsid w:val="00C37E60"/>
    <w:rsid w:val="00C82009"/>
    <w:rsid w:val="00C9184F"/>
    <w:rsid w:val="00CB4BDA"/>
    <w:rsid w:val="00CC52B0"/>
    <w:rsid w:val="00D107CD"/>
    <w:rsid w:val="00D277FB"/>
    <w:rsid w:val="00D340C7"/>
    <w:rsid w:val="00D40E4A"/>
    <w:rsid w:val="00D66F90"/>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6E92AA6"/>
    <w:rsid w:val="17A9728B"/>
    <w:rsid w:val="17B3432A"/>
    <w:rsid w:val="18BD2904"/>
    <w:rsid w:val="19503578"/>
    <w:rsid w:val="19FB6DA2"/>
    <w:rsid w:val="1A3056D8"/>
    <w:rsid w:val="1ABD4924"/>
    <w:rsid w:val="1B6A01A5"/>
    <w:rsid w:val="1B704521"/>
    <w:rsid w:val="1BBD09F3"/>
    <w:rsid w:val="1C811E8C"/>
    <w:rsid w:val="1C833AB3"/>
    <w:rsid w:val="1CD957E4"/>
    <w:rsid w:val="1CE45B2D"/>
    <w:rsid w:val="1CE741A3"/>
    <w:rsid w:val="1CF35D0C"/>
    <w:rsid w:val="1DCC0726"/>
    <w:rsid w:val="1DF24545"/>
    <w:rsid w:val="1E1160FD"/>
    <w:rsid w:val="1EA81C47"/>
    <w:rsid w:val="1ED7600F"/>
    <w:rsid w:val="1F7A571D"/>
    <w:rsid w:val="208A259E"/>
    <w:rsid w:val="20E603DB"/>
    <w:rsid w:val="22382A16"/>
    <w:rsid w:val="22685619"/>
    <w:rsid w:val="22A9011F"/>
    <w:rsid w:val="235A30FF"/>
    <w:rsid w:val="235A39D9"/>
    <w:rsid w:val="242878FE"/>
    <w:rsid w:val="246D443F"/>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31D06"/>
    <w:rsid w:val="368A773C"/>
    <w:rsid w:val="36EE7B2A"/>
    <w:rsid w:val="38D416BA"/>
    <w:rsid w:val="3922614F"/>
    <w:rsid w:val="3A207555"/>
    <w:rsid w:val="3ABA6DAF"/>
    <w:rsid w:val="3B60095D"/>
    <w:rsid w:val="3BA4285E"/>
    <w:rsid w:val="3BF86E47"/>
    <w:rsid w:val="3C1C2D73"/>
    <w:rsid w:val="3CBA7FA6"/>
    <w:rsid w:val="3CFB59E7"/>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0E134F"/>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0392AEA"/>
    <w:rsid w:val="51595B90"/>
    <w:rsid w:val="524B622E"/>
    <w:rsid w:val="525C2AAA"/>
    <w:rsid w:val="527F60E4"/>
    <w:rsid w:val="52DE564C"/>
    <w:rsid w:val="52FD19F5"/>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17A657F"/>
    <w:rsid w:val="620356E8"/>
    <w:rsid w:val="63647DB9"/>
    <w:rsid w:val="637C576C"/>
    <w:rsid w:val="639A23F6"/>
    <w:rsid w:val="640259CE"/>
    <w:rsid w:val="64617F46"/>
    <w:rsid w:val="661A28ED"/>
    <w:rsid w:val="66D01762"/>
    <w:rsid w:val="675454F2"/>
    <w:rsid w:val="6993314E"/>
    <w:rsid w:val="6A442FBD"/>
    <w:rsid w:val="6AE30D66"/>
    <w:rsid w:val="6BC37FE2"/>
    <w:rsid w:val="6C252800"/>
    <w:rsid w:val="6CC84C24"/>
    <w:rsid w:val="6D31535F"/>
    <w:rsid w:val="6D42284E"/>
    <w:rsid w:val="6DA41BA0"/>
    <w:rsid w:val="6E5F0718"/>
    <w:rsid w:val="6F92352B"/>
    <w:rsid w:val="6F9D771B"/>
    <w:rsid w:val="6FC1378E"/>
    <w:rsid w:val="702E5BFE"/>
    <w:rsid w:val="704065EA"/>
    <w:rsid w:val="709A3939"/>
    <w:rsid w:val="71117BB3"/>
    <w:rsid w:val="712B0162"/>
    <w:rsid w:val="713D0D36"/>
    <w:rsid w:val="72707695"/>
    <w:rsid w:val="73BB3104"/>
    <w:rsid w:val="750A5CD0"/>
    <w:rsid w:val="75371AAF"/>
    <w:rsid w:val="75B46C9B"/>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style>
  <w:style w:type="character" w:customStyle="1" w:styleId="NewNew">
    <w:name w:val="页码 New New"/>
    <w:basedOn w:val="a0"/>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0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EB599-C9CD-4B27-B16A-28BDABBD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1324</Words>
  <Characters>7553</Characters>
  <Application>Microsoft Office Word</Application>
  <DocSecurity>0</DocSecurity>
  <Lines>62</Lines>
  <Paragraphs>17</Paragraphs>
  <ScaleCrop>false</ScaleCrop>
  <Company>P R C</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22</cp:revision>
  <cp:lastPrinted>2017-08-01T03:11:00Z</cp:lastPrinted>
  <dcterms:created xsi:type="dcterms:W3CDTF">2019-09-17T03:08:00Z</dcterms:created>
  <dcterms:modified xsi:type="dcterms:W3CDTF">2020-09-28T07:39:00Z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