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286" w:rsidRDefault="00C53286"/>
    <w:p w:rsidR="00C53286" w:rsidRDefault="00C53286"/>
    <w:p w:rsidR="00C53286" w:rsidRDefault="00C53286"/>
    <w:p w:rsidR="00C53286" w:rsidRDefault="00C53286"/>
    <w:p w:rsidR="00C53286" w:rsidRDefault="00C53286"/>
    <w:p w:rsidR="00C53286" w:rsidRDefault="00C53286"/>
    <w:p w:rsidR="00C53286" w:rsidRDefault="00C53286"/>
    <w:p w:rsidR="00C53286" w:rsidRDefault="00C53286"/>
    <w:p w:rsidR="00C53286" w:rsidRDefault="002843B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C53286" w:rsidRDefault="00C53286">
      <w:pPr>
        <w:jc w:val="center"/>
        <w:rPr>
          <w:rFonts w:ascii="方正小标宋_GBK" w:eastAsia="方正小标宋_GBK" w:hAnsi="Arial" w:cs="Arial"/>
          <w:sz w:val="44"/>
          <w:szCs w:val="44"/>
        </w:rPr>
      </w:pPr>
    </w:p>
    <w:p w:rsidR="00C53286" w:rsidRDefault="002843B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长春市双阳区司法局部门决算</w:t>
      </w: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2843B8">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C53286">
      <w:pPr>
        <w:jc w:val="center"/>
        <w:rPr>
          <w:rFonts w:ascii="Arial" w:eastAsia="方正小标宋简体" w:hAnsi="Arial" w:cs="Arial"/>
          <w:sz w:val="44"/>
          <w:szCs w:val="44"/>
        </w:rPr>
      </w:pPr>
    </w:p>
    <w:p w:rsidR="00C53286" w:rsidRDefault="002843B8">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C53286" w:rsidRDefault="00C53286">
      <w:pPr>
        <w:spacing w:line="520" w:lineRule="exact"/>
        <w:jc w:val="center"/>
        <w:rPr>
          <w:rFonts w:ascii="方正小标宋简体" w:eastAsia="方正小标宋简体" w:hAnsi="方正小标宋简体"/>
          <w:sz w:val="44"/>
        </w:rPr>
      </w:pPr>
    </w:p>
    <w:p w:rsidR="00C53286" w:rsidRDefault="002843B8">
      <w:pPr>
        <w:spacing w:line="560" w:lineRule="exact"/>
        <w:rPr>
          <w:rFonts w:ascii="黑体" w:eastAsia="黑体" w:hAnsi="黑体"/>
          <w:sz w:val="32"/>
          <w:szCs w:val="32"/>
        </w:rPr>
      </w:pPr>
      <w:r>
        <w:rPr>
          <w:rFonts w:ascii="黑体" w:eastAsia="黑体" w:hAnsi="黑体" w:hint="eastAsia"/>
          <w:sz w:val="32"/>
          <w:szCs w:val="32"/>
        </w:rPr>
        <w:t>第一部分  部门概况</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一、部门职能</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C53286" w:rsidRDefault="002843B8">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一、收入支出决算总表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二、收入决算表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三、支出决算表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C53286" w:rsidRDefault="002843B8">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二、收入决算情况说明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三、支出决算情况说明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C53286" w:rsidRDefault="002843B8">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C53286" w:rsidRDefault="002843B8">
      <w:pPr>
        <w:spacing w:line="560" w:lineRule="exact"/>
        <w:rPr>
          <w:rFonts w:ascii="黑体" w:eastAsia="黑体" w:hAnsi="黑体"/>
          <w:sz w:val="32"/>
          <w:szCs w:val="32"/>
        </w:rPr>
      </w:pPr>
      <w:r>
        <w:rPr>
          <w:rFonts w:ascii="黑体" w:eastAsia="黑体" w:hAnsi="黑体" w:hint="eastAsia"/>
          <w:sz w:val="32"/>
          <w:szCs w:val="32"/>
        </w:rPr>
        <w:t>第四部分  名词解释</w:t>
      </w:r>
    </w:p>
    <w:p w:rsidR="00C53286" w:rsidRDefault="002843B8">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C53286" w:rsidRDefault="00C53286">
      <w:pPr>
        <w:jc w:val="center"/>
        <w:rPr>
          <w:rFonts w:ascii="黑体" w:eastAsia="黑体" w:hAnsi="黑体"/>
          <w:sz w:val="32"/>
        </w:rPr>
      </w:pPr>
    </w:p>
    <w:p w:rsidR="00C53286" w:rsidRDefault="002843B8">
      <w:pPr>
        <w:rPr>
          <w:rFonts w:ascii="黑体" w:eastAsia="黑体" w:hAnsi="黑体"/>
          <w:sz w:val="32"/>
        </w:rPr>
      </w:pPr>
      <w:r>
        <w:rPr>
          <w:rFonts w:ascii="黑体" w:eastAsia="黑体" w:hAnsi="黑体" w:hint="eastAsia"/>
          <w:sz w:val="32"/>
        </w:rPr>
        <w:t xml:space="preserve">    一、部门职能</w:t>
      </w:r>
    </w:p>
    <w:p w:rsidR="00C53286" w:rsidRPr="00967296" w:rsidRDefault="002843B8">
      <w:pPr>
        <w:pStyle w:val="a5"/>
        <w:shd w:val="clear" w:color="auto" w:fill="FFFFFF"/>
        <w:spacing w:before="0" w:beforeAutospacing="0" w:after="0" w:afterAutospacing="0" w:line="420" w:lineRule="atLeast"/>
        <w:ind w:firstLineChars="200" w:firstLine="640"/>
        <w:rPr>
          <w:rFonts w:ascii="仿宋" w:eastAsia="仿宋" w:hAnsi="仿宋" w:cs="Times New Roman"/>
          <w:kern w:val="2"/>
          <w:sz w:val="32"/>
          <w:szCs w:val="20"/>
        </w:rPr>
      </w:pPr>
      <w:r w:rsidRPr="00967296">
        <w:rPr>
          <w:rFonts w:ascii="仿宋" w:eastAsia="仿宋" w:hAnsi="仿宋" w:hint="eastAsia"/>
          <w:sz w:val="32"/>
          <w:szCs w:val="32"/>
        </w:rPr>
        <w:t>司法局主要担负法制宣传教育，人民调解，法律服务，法律援助，社区矫正，安置帮教，社区戒毒，公证，指导律师，法治，行政执法监督等工作。</w:t>
      </w:r>
    </w:p>
    <w:p w:rsidR="00C53286" w:rsidRDefault="002843B8">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C53286" w:rsidRPr="00967296" w:rsidRDefault="002843B8">
      <w:pPr>
        <w:pStyle w:val="a5"/>
        <w:shd w:val="clear" w:color="auto" w:fill="FFFFFF"/>
        <w:spacing w:before="0" w:beforeAutospacing="0" w:after="0" w:afterAutospacing="0" w:line="420" w:lineRule="atLeast"/>
        <w:ind w:firstLineChars="250" w:firstLine="800"/>
        <w:rPr>
          <w:rFonts w:ascii="仿宋" w:eastAsia="仿宋" w:hAnsi="仿宋" w:cs="Times New Roman"/>
          <w:kern w:val="2"/>
          <w:sz w:val="32"/>
          <w:szCs w:val="20"/>
        </w:rPr>
      </w:pPr>
      <w:r w:rsidRPr="00967296">
        <w:rPr>
          <w:rFonts w:ascii="仿宋" w:eastAsia="仿宋" w:hAnsi="仿宋" w:hint="eastAsia"/>
          <w:sz w:val="32"/>
        </w:rPr>
        <w:t>根据上述职责，我</w:t>
      </w:r>
      <w:r w:rsidRPr="00967296">
        <w:rPr>
          <w:rFonts w:ascii="仿宋" w:eastAsia="仿宋" w:hAnsi="仿宋" w:cs="Times New Roman" w:hint="eastAsia"/>
          <w:kern w:val="2"/>
          <w:sz w:val="32"/>
          <w:szCs w:val="20"/>
        </w:rPr>
        <w:t>单位共有四个科室，八个派出机构。分别是：办公室，法治科，普法与依法治理科，社区矫正科，云山司法所、平湖司法所、</w:t>
      </w:r>
      <w:proofErr w:type="gramStart"/>
      <w:r w:rsidRPr="00967296">
        <w:rPr>
          <w:rFonts w:ascii="仿宋" w:eastAsia="仿宋" w:hAnsi="仿宋" w:cs="Times New Roman" w:hint="eastAsia"/>
          <w:kern w:val="2"/>
          <w:sz w:val="32"/>
          <w:szCs w:val="20"/>
        </w:rPr>
        <w:t>双营司法</w:t>
      </w:r>
      <w:proofErr w:type="gramEnd"/>
      <w:r w:rsidRPr="00967296">
        <w:rPr>
          <w:rFonts w:ascii="仿宋" w:eastAsia="仿宋" w:hAnsi="仿宋" w:cs="Times New Roman" w:hint="eastAsia"/>
          <w:kern w:val="2"/>
          <w:sz w:val="32"/>
          <w:szCs w:val="20"/>
        </w:rPr>
        <w:t>所、鹿乡司法所、</w:t>
      </w:r>
      <w:proofErr w:type="gramStart"/>
      <w:r w:rsidRPr="00967296">
        <w:rPr>
          <w:rFonts w:ascii="仿宋" w:eastAsia="仿宋" w:hAnsi="仿宋" w:cs="Times New Roman" w:hint="eastAsia"/>
          <w:kern w:val="2"/>
          <w:sz w:val="32"/>
          <w:szCs w:val="20"/>
        </w:rPr>
        <w:t>奢岭司法</w:t>
      </w:r>
      <w:proofErr w:type="gramEnd"/>
      <w:r w:rsidRPr="00967296">
        <w:rPr>
          <w:rFonts w:ascii="仿宋" w:eastAsia="仿宋" w:hAnsi="仿宋" w:cs="Times New Roman" w:hint="eastAsia"/>
          <w:kern w:val="2"/>
          <w:sz w:val="32"/>
          <w:szCs w:val="20"/>
        </w:rPr>
        <w:t>所、齐家司法所、太平司法所、山河司法所。</w:t>
      </w:r>
    </w:p>
    <w:p w:rsidR="00C53286" w:rsidRPr="00967296" w:rsidRDefault="002843B8">
      <w:pPr>
        <w:ind w:firstLineChars="200" w:firstLine="640"/>
        <w:rPr>
          <w:rFonts w:ascii="仿宋" w:eastAsia="仿宋" w:hAnsi="仿宋"/>
          <w:sz w:val="32"/>
        </w:rPr>
      </w:pPr>
      <w:r w:rsidRPr="00967296">
        <w:rPr>
          <w:rFonts w:ascii="仿宋" w:eastAsia="仿宋" w:hAnsi="仿宋" w:hint="eastAsia"/>
          <w:sz w:val="32"/>
        </w:rPr>
        <w:t>纳入长春市双阳区司法局2019年度部门决算编制范围的单位包括：</w:t>
      </w:r>
    </w:p>
    <w:p w:rsidR="00C53286" w:rsidRPr="00967296" w:rsidRDefault="002843B8">
      <w:pPr>
        <w:ind w:firstLineChars="200" w:firstLine="640"/>
        <w:rPr>
          <w:rFonts w:ascii="仿宋" w:eastAsia="仿宋" w:hAnsi="仿宋"/>
          <w:sz w:val="32"/>
        </w:rPr>
      </w:pPr>
      <w:r w:rsidRPr="00967296">
        <w:rPr>
          <w:rFonts w:ascii="仿宋" w:eastAsia="仿宋" w:hAnsi="仿宋" w:hint="eastAsia"/>
          <w:sz w:val="32"/>
        </w:rPr>
        <w:t>长春市双阳区司法局</w:t>
      </w:r>
    </w:p>
    <w:p w:rsidR="00C53286" w:rsidRPr="00967296" w:rsidRDefault="002843B8">
      <w:pPr>
        <w:ind w:firstLineChars="200" w:firstLine="640"/>
        <w:rPr>
          <w:rFonts w:ascii="仿宋" w:eastAsia="仿宋" w:hAnsi="仿宋"/>
          <w:sz w:val="32"/>
        </w:rPr>
      </w:pPr>
      <w:r w:rsidRPr="00967296">
        <w:rPr>
          <w:rFonts w:ascii="仿宋" w:eastAsia="仿宋" w:hAnsi="仿宋" w:hint="eastAsia"/>
          <w:sz w:val="32"/>
        </w:rPr>
        <w:t>2019年末实有人员43人，其中：在职人员32人，离退休人员11人。</w:t>
      </w:r>
    </w:p>
    <w:p w:rsidR="00C53286" w:rsidRPr="00967296" w:rsidRDefault="00C53286">
      <w:pPr>
        <w:ind w:firstLineChars="200" w:firstLine="640"/>
        <w:rPr>
          <w:rFonts w:ascii="仿宋" w:eastAsia="仿宋" w:hAnsi="仿宋"/>
          <w:sz w:val="32"/>
        </w:rPr>
      </w:pPr>
    </w:p>
    <w:p w:rsidR="00C53286" w:rsidRDefault="002843B8">
      <w:pPr>
        <w:widowControl/>
        <w:jc w:val="left"/>
        <w:rPr>
          <w:rFonts w:ascii="仿宋" w:eastAsia="仿宋" w:hAnsi="仿宋"/>
          <w:sz w:val="32"/>
        </w:rPr>
        <w:sectPr w:rsidR="00C53286">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C53286" w:rsidRDefault="002843B8">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C53286" w:rsidRDefault="002843B8">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firstRow="1" w:lastRow="0" w:firstColumn="1" w:lastColumn="0" w:noHBand="0" w:noVBand="1"/>
      </w:tblPr>
      <w:tblGrid>
        <w:gridCol w:w="2662"/>
        <w:gridCol w:w="1734"/>
        <w:gridCol w:w="2710"/>
        <w:gridCol w:w="236"/>
        <w:gridCol w:w="1800"/>
      </w:tblGrid>
      <w:tr w:rsidR="00C53286">
        <w:trPr>
          <w:trHeight w:val="360"/>
        </w:trPr>
        <w:tc>
          <w:tcPr>
            <w:tcW w:w="9142" w:type="dxa"/>
            <w:gridSpan w:val="5"/>
            <w:tcBorders>
              <w:top w:val="nil"/>
              <w:left w:val="nil"/>
              <w:bottom w:val="nil"/>
              <w:right w:val="nil"/>
            </w:tcBorders>
            <w:shd w:val="clear" w:color="auto" w:fill="auto"/>
            <w:noWrap/>
            <w:vAlign w:val="center"/>
          </w:tcPr>
          <w:p w:rsidR="00C53286" w:rsidRDefault="002843B8">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C53286">
        <w:trPr>
          <w:trHeight w:val="317"/>
        </w:trPr>
        <w:tc>
          <w:tcPr>
            <w:tcW w:w="2662"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34"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71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C53286">
        <w:trPr>
          <w:trHeight w:val="293"/>
        </w:trPr>
        <w:tc>
          <w:tcPr>
            <w:tcW w:w="2662" w:type="dxa"/>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734"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71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53286">
        <w:trPr>
          <w:trHeight w:val="439"/>
        </w:trPr>
        <w:tc>
          <w:tcPr>
            <w:tcW w:w="4396"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746" w:type="dxa"/>
            <w:gridSpan w:val="3"/>
            <w:tcBorders>
              <w:top w:val="single" w:sz="8" w:space="0" w:color="auto"/>
              <w:left w:val="nil"/>
              <w:bottom w:val="single" w:sz="4" w:space="0" w:color="auto"/>
              <w:right w:val="single" w:sz="8" w:space="0" w:color="000000"/>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34"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821.68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四、经营收入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100.06　</w:t>
            </w:r>
          </w:p>
        </w:tc>
        <w:tc>
          <w:tcPr>
            <w:tcW w:w="2946"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734"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903.72　</w:t>
            </w: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821.68　</w:t>
            </w:r>
          </w:p>
        </w:tc>
      </w:tr>
      <w:tr w:rsidR="00C5328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年初结转和结余</w:t>
            </w:r>
          </w:p>
        </w:tc>
        <w:tc>
          <w:tcPr>
            <w:tcW w:w="1734"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394.38　</w:t>
            </w:r>
          </w:p>
        </w:tc>
        <w:tc>
          <w:tcPr>
            <w:tcW w:w="2946"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476.42　</w:t>
            </w:r>
          </w:p>
        </w:tc>
      </w:tr>
      <w:tr w:rsidR="00C5328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734" w:type="dxa"/>
            <w:tcBorders>
              <w:top w:val="single" w:sz="4" w:space="0" w:color="auto"/>
              <w:left w:val="single" w:sz="4" w:space="0" w:color="auto"/>
              <w:bottom w:val="single" w:sz="8"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1，298.10　</w:t>
            </w:r>
          </w:p>
        </w:tc>
        <w:tc>
          <w:tcPr>
            <w:tcW w:w="2946" w:type="dxa"/>
            <w:gridSpan w:val="2"/>
            <w:tcBorders>
              <w:top w:val="single" w:sz="4" w:space="0" w:color="auto"/>
              <w:left w:val="nil"/>
              <w:bottom w:val="single" w:sz="8" w:space="0" w:color="auto"/>
              <w:right w:val="single" w:sz="8" w:space="0" w:color="auto"/>
            </w:tcBorders>
            <w:shd w:val="clear" w:color="auto" w:fill="FFFFFF"/>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53286" w:rsidRDefault="002843B8">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1，298.10</w:t>
            </w:r>
          </w:p>
        </w:tc>
      </w:tr>
      <w:tr w:rsidR="00C53286">
        <w:trPr>
          <w:trHeight w:val="585"/>
        </w:trPr>
        <w:tc>
          <w:tcPr>
            <w:tcW w:w="9142" w:type="dxa"/>
            <w:gridSpan w:val="5"/>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C53286" w:rsidRDefault="00C53286">
      <w:pPr>
        <w:rPr>
          <w:rFonts w:ascii="黑体" w:eastAsia="黑体" w:hAnsi="黑体"/>
          <w:sz w:val="32"/>
        </w:rPr>
        <w:sectPr w:rsidR="00C53286">
          <w:pgSz w:w="11906" w:h="16838"/>
          <w:pgMar w:top="1440" w:right="1797" w:bottom="1440" w:left="1797" w:header="851" w:footer="992" w:gutter="0"/>
          <w:cols w:space="720"/>
          <w:docGrid w:type="linesAndChars" w:linePitch="312"/>
        </w:sectPr>
      </w:pPr>
    </w:p>
    <w:p w:rsidR="00C53286" w:rsidRDefault="002843B8">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C53286">
        <w:trPr>
          <w:trHeight w:val="405"/>
        </w:trPr>
        <w:tc>
          <w:tcPr>
            <w:tcW w:w="14055" w:type="dxa"/>
            <w:gridSpan w:val="11"/>
            <w:tcBorders>
              <w:top w:val="nil"/>
              <w:left w:val="nil"/>
              <w:bottom w:val="nil"/>
              <w:right w:val="nil"/>
            </w:tcBorders>
            <w:shd w:val="clear" w:color="auto" w:fill="auto"/>
            <w:noWrap/>
            <w:vAlign w:val="center"/>
          </w:tcPr>
          <w:p w:rsidR="00C53286" w:rsidRDefault="002843B8">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C53286">
        <w:trPr>
          <w:trHeight w:val="285"/>
        </w:trPr>
        <w:tc>
          <w:tcPr>
            <w:tcW w:w="315"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C53286">
        <w:trPr>
          <w:trHeight w:val="285"/>
        </w:trPr>
        <w:tc>
          <w:tcPr>
            <w:tcW w:w="1095" w:type="dxa"/>
            <w:gridSpan w:val="2"/>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53286" w:rsidRDefault="002843B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53286">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C5328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C5328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903.72　</w:t>
            </w:r>
          </w:p>
        </w:tc>
        <w:tc>
          <w:tcPr>
            <w:tcW w:w="172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165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100.06　</w:t>
            </w: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w:t>
            </w:r>
          </w:p>
        </w:tc>
        <w:tc>
          <w:tcPr>
            <w:tcW w:w="1766"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公共安全</w:t>
            </w:r>
          </w:p>
        </w:tc>
        <w:tc>
          <w:tcPr>
            <w:tcW w:w="1709"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903.72　</w:t>
            </w:r>
          </w:p>
        </w:tc>
        <w:tc>
          <w:tcPr>
            <w:tcW w:w="172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165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100.06　</w:t>
            </w: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w:t>
            </w:r>
          </w:p>
        </w:tc>
        <w:tc>
          <w:tcPr>
            <w:tcW w:w="1766"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司法</w:t>
            </w:r>
          </w:p>
        </w:tc>
        <w:tc>
          <w:tcPr>
            <w:tcW w:w="1709"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903.72　</w:t>
            </w:r>
          </w:p>
        </w:tc>
        <w:tc>
          <w:tcPr>
            <w:tcW w:w="172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165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100.06　</w:t>
            </w: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2040601</w:t>
            </w:r>
          </w:p>
        </w:tc>
        <w:tc>
          <w:tcPr>
            <w:tcW w:w="1766"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903.72　</w:t>
            </w:r>
          </w:p>
        </w:tc>
        <w:tc>
          <w:tcPr>
            <w:tcW w:w="172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165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100.06　</w:t>
            </w: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615"/>
        </w:trPr>
        <w:tc>
          <w:tcPr>
            <w:tcW w:w="14055" w:type="dxa"/>
            <w:gridSpan w:val="11"/>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C53286" w:rsidRDefault="002843B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ayout w:type="fixed"/>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C53286">
        <w:trPr>
          <w:trHeight w:val="405"/>
        </w:trPr>
        <w:tc>
          <w:tcPr>
            <w:tcW w:w="14867" w:type="dxa"/>
            <w:gridSpan w:val="12"/>
            <w:tcBorders>
              <w:top w:val="nil"/>
              <w:left w:val="nil"/>
              <w:bottom w:val="nil"/>
              <w:right w:val="nil"/>
            </w:tcBorders>
            <w:shd w:val="clear" w:color="auto" w:fill="auto"/>
            <w:noWrap/>
            <w:vAlign w:val="center"/>
          </w:tcPr>
          <w:p w:rsidR="00C53286" w:rsidRDefault="002843B8">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C53286">
        <w:trPr>
          <w:trHeight w:val="285"/>
        </w:trPr>
        <w:tc>
          <w:tcPr>
            <w:tcW w:w="735"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C53286">
        <w:trPr>
          <w:trHeight w:val="285"/>
        </w:trPr>
        <w:tc>
          <w:tcPr>
            <w:tcW w:w="735" w:type="dxa"/>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53286">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C53286">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5328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821.638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648.07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575.92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w:t>
            </w: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公共安全</w:t>
            </w:r>
          </w:p>
        </w:tc>
        <w:tc>
          <w:tcPr>
            <w:tcW w:w="181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821.68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648.07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575.92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w:t>
            </w: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司法</w:t>
            </w:r>
          </w:p>
        </w:tc>
        <w:tc>
          <w:tcPr>
            <w:tcW w:w="181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821.68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648.07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575.92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2040601</w:t>
            </w: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821.68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648.07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575.92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3286" w:rsidRDefault="00C5328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bl>
    <w:p w:rsidR="00C53286" w:rsidRDefault="00C53286"/>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C53286" w:rsidRDefault="002843B8">
      <w:r>
        <w:br w:type="page"/>
      </w:r>
    </w:p>
    <w:tbl>
      <w:tblPr>
        <w:tblW w:w="14867" w:type="dxa"/>
        <w:tblInd w:w="93" w:type="dxa"/>
        <w:tblLayout w:type="fixed"/>
        <w:tblLook w:val="04A0" w:firstRow="1" w:lastRow="0" w:firstColumn="1" w:lastColumn="0" w:noHBand="0" w:noVBand="1"/>
      </w:tblPr>
      <w:tblGrid>
        <w:gridCol w:w="14867"/>
      </w:tblGrid>
      <w:tr w:rsidR="00C53286">
        <w:trPr>
          <w:trHeight w:val="630"/>
        </w:trPr>
        <w:tc>
          <w:tcPr>
            <w:tcW w:w="14867" w:type="dxa"/>
            <w:tcBorders>
              <w:top w:val="nil"/>
              <w:left w:val="nil"/>
              <w:bottom w:val="nil"/>
              <w:right w:val="nil"/>
            </w:tcBorders>
            <w:shd w:val="clear" w:color="auto" w:fill="auto"/>
            <w:vAlign w:val="center"/>
          </w:tcPr>
          <w:p w:rsidR="00C53286" w:rsidRDefault="00C53286">
            <w:pPr>
              <w:widowControl/>
              <w:jc w:val="left"/>
              <w:rPr>
                <w:rFonts w:ascii="仿宋" w:eastAsia="仿宋" w:hAnsi="仿宋" w:cs="宋体"/>
                <w:b/>
                <w:kern w:val="0"/>
                <w:sz w:val="24"/>
                <w:szCs w:val="24"/>
              </w:rPr>
            </w:pPr>
          </w:p>
        </w:tc>
      </w:tr>
    </w:tbl>
    <w:p w:rsidR="00C53286" w:rsidRDefault="002843B8">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ayout w:type="fixed"/>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C53286">
        <w:trPr>
          <w:trHeight w:val="360"/>
        </w:trPr>
        <w:tc>
          <w:tcPr>
            <w:tcW w:w="13875" w:type="dxa"/>
            <w:gridSpan w:val="10"/>
            <w:tcBorders>
              <w:top w:val="nil"/>
              <w:left w:val="nil"/>
              <w:bottom w:val="nil"/>
              <w:right w:val="nil"/>
            </w:tcBorders>
            <w:shd w:val="clear" w:color="auto" w:fill="auto"/>
            <w:noWrap/>
            <w:vAlign w:val="center"/>
          </w:tcPr>
          <w:p w:rsidR="00C53286" w:rsidRDefault="002843B8">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C53286">
        <w:trPr>
          <w:trHeight w:val="199"/>
        </w:trPr>
        <w:tc>
          <w:tcPr>
            <w:tcW w:w="3255"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C53286">
        <w:trPr>
          <w:trHeight w:val="300"/>
        </w:trPr>
        <w:tc>
          <w:tcPr>
            <w:tcW w:w="3255" w:type="dxa"/>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5328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5328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53286" w:rsidRDefault="00C5328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803.66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394.38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475.04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475.03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394.38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1，198.04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1，198.05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1，198.04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kern w:val="0"/>
                <w:sz w:val="22"/>
                <w:szCs w:val="22"/>
              </w:rPr>
            </w:pPr>
          </w:p>
        </w:tc>
      </w:tr>
      <w:tr w:rsidR="00C53286">
        <w:trPr>
          <w:trHeight w:val="585"/>
        </w:trPr>
        <w:tc>
          <w:tcPr>
            <w:tcW w:w="13875" w:type="dxa"/>
            <w:gridSpan w:val="10"/>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53286" w:rsidRDefault="002843B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firstRow="1" w:lastRow="0" w:firstColumn="1" w:lastColumn="0" w:noHBand="0" w:noVBand="1"/>
      </w:tblPr>
      <w:tblGrid>
        <w:gridCol w:w="680"/>
        <w:gridCol w:w="760"/>
        <w:gridCol w:w="2175"/>
        <w:gridCol w:w="2405"/>
        <w:gridCol w:w="1960"/>
        <w:gridCol w:w="1935"/>
        <w:gridCol w:w="1800"/>
        <w:gridCol w:w="2340"/>
      </w:tblGrid>
      <w:tr w:rsidR="00C53286">
        <w:trPr>
          <w:trHeight w:val="600"/>
        </w:trPr>
        <w:tc>
          <w:tcPr>
            <w:tcW w:w="14055" w:type="dxa"/>
            <w:gridSpan w:val="8"/>
            <w:tcBorders>
              <w:top w:val="nil"/>
              <w:left w:val="nil"/>
              <w:bottom w:val="nil"/>
              <w:right w:val="nil"/>
            </w:tcBorders>
            <w:shd w:val="clear" w:color="auto" w:fill="FFFFFF"/>
            <w:vAlign w:val="center"/>
          </w:tcPr>
          <w:p w:rsidR="00C53286" w:rsidRDefault="002843B8">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C53286">
        <w:trPr>
          <w:trHeight w:val="222"/>
        </w:trPr>
        <w:tc>
          <w:tcPr>
            <w:tcW w:w="68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C53286">
        <w:trPr>
          <w:trHeight w:val="300"/>
        </w:trPr>
        <w:tc>
          <w:tcPr>
            <w:tcW w:w="1440" w:type="dxa"/>
            <w:gridSpan w:val="2"/>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53286">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C53286">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C5328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9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549.40　</w:t>
            </w:r>
          </w:p>
        </w:tc>
        <w:tc>
          <w:tcPr>
            <w:tcW w:w="1935"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477.25　</w:t>
            </w:r>
          </w:p>
        </w:tc>
        <w:tc>
          <w:tcPr>
            <w:tcW w:w="180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w:t>
            </w:r>
          </w:p>
        </w:tc>
        <w:tc>
          <w:tcPr>
            <w:tcW w:w="217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公共安全</w:t>
            </w: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9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549.40　</w:t>
            </w:r>
          </w:p>
        </w:tc>
        <w:tc>
          <w:tcPr>
            <w:tcW w:w="1935"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477.25　</w:t>
            </w:r>
          </w:p>
        </w:tc>
        <w:tc>
          <w:tcPr>
            <w:tcW w:w="180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w:t>
            </w:r>
          </w:p>
        </w:tc>
        <w:tc>
          <w:tcPr>
            <w:tcW w:w="217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司法</w:t>
            </w: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9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549.40　</w:t>
            </w:r>
          </w:p>
        </w:tc>
        <w:tc>
          <w:tcPr>
            <w:tcW w:w="1935"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477.25　</w:t>
            </w:r>
          </w:p>
        </w:tc>
        <w:tc>
          <w:tcPr>
            <w:tcW w:w="180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2040601</w:t>
            </w:r>
          </w:p>
        </w:tc>
        <w:tc>
          <w:tcPr>
            <w:tcW w:w="217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723.01　</w:t>
            </w:r>
          </w:p>
        </w:tc>
        <w:tc>
          <w:tcPr>
            <w:tcW w:w="19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549.40　</w:t>
            </w:r>
          </w:p>
        </w:tc>
        <w:tc>
          <w:tcPr>
            <w:tcW w:w="1935"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477.25　</w:t>
            </w:r>
          </w:p>
        </w:tc>
        <w:tc>
          <w:tcPr>
            <w:tcW w:w="180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72.15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173.61　</w:t>
            </w: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r>
      <w:tr w:rsidR="00C5328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r>
      <w:tr w:rsidR="00C53286">
        <w:trPr>
          <w:trHeight w:val="645"/>
        </w:trPr>
        <w:tc>
          <w:tcPr>
            <w:tcW w:w="14055" w:type="dxa"/>
            <w:gridSpan w:val="8"/>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C53286" w:rsidRDefault="002843B8">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ayout w:type="fixed"/>
        <w:tblLook w:val="04A0" w:firstRow="1" w:lastRow="0" w:firstColumn="1" w:lastColumn="0" w:noHBand="0" w:noVBand="1"/>
      </w:tblPr>
      <w:tblGrid>
        <w:gridCol w:w="720"/>
        <w:gridCol w:w="3100"/>
        <w:gridCol w:w="1300"/>
        <w:gridCol w:w="720"/>
        <w:gridCol w:w="2200"/>
        <w:gridCol w:w="1300"/>
        <w:gridCol w:w="720"/>
        <w:gridCol w:w="2567"/>
        <w:gridCol w:w="1440"/>
      </w:tblGrid>
      <w:tr w:rsidR="00C53286">
        <w:trPr>
          <w:trHeight w:val="480"/>
        </w:trPr>
        <w:tc>
          <w:tcPr>
            <w:tcW w:w="14067" w:type="dxa"/>
            <w:gridSpan w:val="9"/>
            <w:tcBorders>
              <w:top w:val="nil"/>
              <w:left w:val="nil"/>
              <w:bottom w:val="nil"/>
              <w:right w:val="nil"/>
            </w:tcBorders>
            <w:shd w:val="clear" w:color="auto" w:fill="FFFFFF"/>
            <w:vAlign w:val="center"/>
          </w:tcPr>
          <w:p w:rsidR="00C53286" w:rsidRDefault="002843B8">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C53286">
        <w:trPr>
          <w:trHeight w:val="222"/>
        </w:trPr>
        <w:tc>
          <w:tcPr>
            <w:tcW w:w="72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C53286">
        <w:trPr>
          <w:trHeight w:val="300"/>
        </w:trPr>
        <w:tc>
          <w:tcPr>
            <w:tcW w:w="720" w:type="dxa"/>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C53286" w:rsidRDefault="00C53286">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C53286" w:rsidRDefault="00C53286">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53286">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53286" w:rsidRDefault="002843B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C53286" w:rsidRDefault="002843B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C53286">
        <w:trPr>
          <w:trHeight w:val="259"/>
        </w:trPr>
        <w:tc>
          <w:tcPr>
            <w:tcW w:w="720" w:type="dxa"/>
            <w:tcBorders>
              <w:top w:val="nil"/>
              <w:left w:val="single" w:sz="8"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447.89</w:t>
            </w:r>
          </w:p>
        </w:tc>
        <w:tc>
          <w:tcPr>
            <w:tcW w:w="72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72.15</w:t>
            </w:r>
          </w:p>
        </w:tc>
        <w:tc>
          <w:tcPr>
            <w:tcW w:w="72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12"/>
        </w:trPr>
        <w:tc>
          <w:tcPr>
            <w:tcW w:w="720" w:type="dxa"/>
            <w:tcBorders>
              <w:top w:val="nil"/>
              <w:left w:val="single" w:sz="8"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144.89</w:t>
            </w:r>
          </w:p>
        </w:tc>
        <w:tc>
          <w:tcPr>
            <w:tcW w:w="72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9.98</w:t>
            </w:r>
          </w:p>
        </w:tc>
        <w:tc>
          <w:tcPr>
            <w:tcW w:w="720"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138.06</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1.30</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86.30</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0.17</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0.5</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34.63</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0.16</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2.08</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13.98</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1.99</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1.07</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6.73</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23.99</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0.58</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4.97</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29.37</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11.69</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0.10</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16.12</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2.09</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16.15</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1.55</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24.42</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5.91</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r>
      <w:tr w:rsidR="00C5328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53286" w:rsidRDefault="00C5328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r>
      <w:tr w:rsidR="00C53286">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477.25</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公用经费合计72.15</w:t>
            </w:r>
          </w:p>
        </w:tc>
        <w:tc>
          <w:tcPr>
            <w:tcW w:w="1440" w:type="dxa"/>
            <w:tcBorders>
              <w:top w:val="nil"/>
              <w:left w:val="nil"/>
              <w:bottom w:val="single" w:sz="8" w:space="0" w:color="auto"/>
              <w:right w:val="single" w:sz="8" w:space="0" w:color="auto"/>
            </w:tcBorders>
            <w:shd w:val="clear" w:color="auto" w:fill="auto"/>
            <w:noWrap/>
            <w:vAlign w:val="center"/>
          </w:tcPr>
          <w:p w:rsidR="00C53286" w:rsidRDefault="00C53286">
            <w:pPr>
              <w:widowControl/>
              <w:jc w:val="left"/>
              <w:rPr>
                <w:rFonts w:ascii="仿宋" w:eastAsia="仿宋" w:hAnsi="仿宋" w:cs="宋体"/>
                <w:b/>
                <w:color w:val="000000"/>
                <w:kern w:val="0"/>
                <w:sz w:val="20"/>
              </w:rPr>
            </w:pPr>
          </w:p>
        </w:tc>
      </w:tr>
      <w:tr w:rsidR="00C53286">
        <w:trPr>
          <w:trHeight w:val="379"/>
        </w:trPr>
        <w:tc>
          <w:tcPr>
            <w:tcW w:w="9340" w:type="dxa"/>
            <w:gridSpan w:val="6"/>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53286" w:rsidRDefault="00C53286">
      <w:pPr>
        <w:widowControl/>
        <w:jc w:val="left"/>
        <w:rPr>
          <w:rFonts w:ascii="仿宋" w:eastAsia="仿宋" w:hAnsi="仿宋" w:cs="宋体"/>
          <w:b/>
          <w:kern w:val="0"/>
          <w:sz w:val="24"/>
          <w:szCs w:val="24"/>
        </w:rPr>
      </w:pPr>
    </w:p>
    <w:p w:rsidR="00C53286" w:rsidRDefault="002843B8">
      <w:r>
        <w:br w:type="page"/>
      </w:r>
    </w:p>
    <w:p w:rsidR="00C53286" w:rsidRDefault="002843B8" w:rsidP="00967296">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ayout w:type="fixed"/>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C53286">
        <w:trPr>
          <w:trHeight w:val="600"/>
        </w:trPr>
        <w:tc>
          <w:tcPr>
            <w:tcW w:w="14081" w:type="dxa"/>
            <w:gridSpan w:val="13"/>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C53286">
        <w:trPr>
          <w:trHeight w:val="222"/>
        </w:trPr>
        <w:tc>
          <w:tcPr>
            <w:tcW w:w="1671"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C53286">
        <w:trPr>
          <w:trHeight w:val="300"/>
        </w:trPr>
        <w:tc>
          <w:tcPr>
            <w:tcW w:w="1671" w:type="dxa"/>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245"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37"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970"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03"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4"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91"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11"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827"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88" w:type="dxa"/>
            <w:gridSpan w:val="2"/>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53286">
        <w:trPr>
          <w:trHeight w:val="743"/>
        </w:trPr>
        <w:tc>
          <w:tcPr>
            <w:tcW w:w="6997"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084" w:type="dxa"/>
            <w:gridSpan w:val="7"/>
            <w:tcBorders>
              <w:top w:val="single" w:sz="8" w:space="0" w:color="auto"/>
              <w:left w:val="nil"/>
              <w:bottom w:val="single" w:sz="4" w:space="0" w:color="auto"/>
              <w:right w:val="single" w:sz="8"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C53286">
        <w:trPr>
          <w:trHeight w:val="600"/>
        </w:trPr>
        <w:tc>
          <w:tcPr>
            <w:tcW w:w="1671" w:type="dxa"/>
            <w:vMerge w:val="restart"/>
            <w:tcBorders>
              <w:top w:val="nil"/>
              <w:left w:val="single" w:sz="8"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45" w:type="dxa"/>
            <w:vMerge w:val="restart"/>
            <w:tcBorders>
              <w:top w:val="nil"/>
              <w:left w:val="single" w:sz="4"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103" w:type="dxa"/>
            <w:vMerge w:val="restart"/>
            <w:tcBorders>
              <w:top w:val="nil"/>
              <w:left w:val="nil"/>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C53286">
        <w:trPr>
          <w:trHeight w:val="810"/>
        </w:trPr>
        <w:tc>
          <w:tcPr>
            <w:tcW w:w="1671" w:type="dxa"/>
            <w:vMerge/>
            <w:tcBorders>
              <w:top w:val="nil"/>
              <w:left w:val="single" w:sz="8"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2"/>
                <w:szCs w:val="22"/>
              </w:rPr>
            </w:pPr>
          </w:p>
        </w:tc>
        <w:tc>
          <w:tcPr>
            <w:tcW w:w="1245"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2"/>
                <w:szCs w:val="22"/>
              </w:rPr>
            </w:pP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970"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2"/>
                <w:szCs w:val="22"/>
              </w:rPr>
            </w:pPr>
          </w:p>
        </w:tc>
        <w:tc>
          <w:tcPr>
            <w:tcW w:w="1103" w:type="dxa"/>
            <w:vMerge/>
            <w:tcBorders>
              <w:top w:val="nil"/>
              <w:left w:val="nil"/>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2"/>
                <w:szCs w:val="22"/>
              </w:rPr>
            </w:pPr>
          </w:p>
        </w:tc>
        <w:tc>
          <w:tcPr>
            <w:tcW w:w="1264"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2"/>
                <w:szCs w:val="22"/>
              </w:rPr>
            </w:pPr>
          </w:p>
        </w:tc>
        <w:tc>
          <w:tcPr>
            <w:tcW w:w="1091"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11"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20" w:type="dxa"/>
            <w:gridSpan w:val="2"/>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395" w:type="dxa"/>
            <w:vMerge/>
            <w:tcBorders>
              <w:top w:val="nil"/>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2"/>
                <w:szCs w:val="22"/>
              </w:rPr>
            </w:pPr>
          </w:p>
        </w:tc>
      </w:tr>
      <w:tr w:rsidR="00C53286">
        <w:trPr>
          <w:trHeight w:val="964"/>
        </w:trPr>
        <w:tc>
          <w:tcPr>
            <w:tcW w:w="1671" w:type="dxa"/>
            <w:tcBorders>
              <w:top w:val="nil"/>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037"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97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103"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264"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91"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111"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120" w:type="dxa"/>
            <w:gridSpan w:val="2"/>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395" w:type="dxa"/>
            <w:tcBorders>
              <w:top w:val="nil"/>
              <w:left w:val="nil"/>
              <w:bottom w:val="single" w:sz="4" w:space="0" w:color="auto"/>
              <w:right w:val="single" w:sz="8" w:space="0" w:color="auto"/>
            </w:tcBorders>
            <w:shd w:val="clear" w:color="auto" w:fill="auto"/>
            <w:vAlign w:val="center"/>
          </w:tcPr>
          <w:p w:rsidR="00C53286" w:rsidRDefault="002843B8">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C53286">
        <w:trPr>
          <w:trHeight w:val="1340"/>
        </w:trPr>
        <w:tc>
          <w:tcPr>
            <w:tcW w:w="1671" w:type="dxa"/>
            <w:tcBorders>
              <w:top w:val="nil"/>
              <w:left w:val="single" w:sz="8" w:space="0" w:color="auto"/>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　</w:t>
            </w:r>
          </w:p>
        </w:tc>
        <w:tc>
          <w:tcPr>
            <w:tcW w:w="1245"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　</w:t>
            </w:r>
          </w:p>
        </w:tc>
        <w:tc>
          <w:tcPr>
            <w:tcW w:w="1037"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　</w:t>
            </w:r>
          </w:p>
        </w:tc>
        <w:tc>
          <w:tcPr>
            <w:tcW w:w="1037"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37"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　</w:t>
            </w:r>
          </w:p>
        </w:tc>
        <w:tc>
          <w:tcPr>
            <w:tcW w:w="970"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03"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16.25　</w:t>
            </w:r>
          </w:p>
        </w:tc>
        <w:tc>
          <w:tcPr>
            <w:tcW w:w="1264"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91"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16.15　</w:t>
            </w:r>
          </w:p>
        </w:tc>
        <w:tc>
          <w:tcPr>
            <w:tcW w:w="1111" w:type="dxa"/>
            <w:tcBorders>
              <w:top w:val="nil"/>
              <w:left w:val="nil"/>
              <w:bottom w:val="single" w:sz="8"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0" w:type="dxa"/>
            <w:gridSpan w:val="2"/>
            <w:tcBorders>
              <w:top w:val="nil"/>
              <w:left w:val="nil"/>
              <w:bottom w:val="single" w:sz="8"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16.15　</w:t>
            </w:r>
          </w:p>
        </w:tc>
        <w:tc>
          <w:tcPr>
            <w:tcW w:w="1395" w:type="dxa"/>
            <w:tcBorders>
              <w:top w:val="nil"/>
              <w:left w:val="single" w:sz="4" w:space="0" w:color="auto"/>
              <w:bottom w:val="single" w:sz="8"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0.10　</w:t>
            </w:r>
          </w:p>
        </w:tc>
      </w:tr>
      <w:tr w:rsidR="00C53286">
        <w:trPr>
          <w:trHeight w:val="900"/>
        </w:trPr>
        <w:tc>
          <w:tcPr>
            <w:tcW w:w="14081" w:type="dxa"/>
            <w:gridSpan w:val="13"/>
            <w:tcBorders>
              <w:top w:val="single" w:sz="8" w:space="0" w:color="auto"/>
              <w:left w:val="nil"/>
              <w:bottom w:val="nil"/>
              <w:right w:val="nil"/>
            </w:tcBorders>
            <w:shd w:val="clear" w:color="auto" w:fill="auto"/>
            <w:vAlign w:val="center"/>
          </w:tcPr>
          <w:p w:rsidR="00C53286" w:rsidRDefault="002843B8">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C53286" w:rsidRDefault="002843B8">
            <w:r>
              <w:br w:type="page"/>
            </w:r>
          </w:p>
          <w:tbl>
            <w:tblPr>
              <w:tblW w:w="14867" w:type="dxa"/>
              <w:tblInd w:w="93" w:type="dxa"/>
              <w:tblLayout w:type="fixed"/>
              <w:tblLook w:val="04A0" w:firstRow="1" w:lastRow="0" w:firstColumn="1" w:lastColumn="0" w:noHBand="0" w:noVBand="1"/>
            </w:tblPr>
            <w:tblGrid>
              <w:gridCol w:w="14867"/>
            </w:tblGrid>
            <w:tr w:rsidR="00C53286">
              <w:trPr>
                <w:trHeight w:val="630"/>
              </w:trPr>
              <w:tc>
                <w:tcPr>
                  <w:tcW w:w="14867" w:type="dxa"/>
                  <w:tcBorders>
                    <w:top w:val="nil"/>
                    <w:left w:val="nil"/>
                    <w:bottom w:val="nil"/>
                    <w:right w:val="nil"/>
                  </w:tcBorders>
                  <w:shd w:val="clear" w:color="auto" w:fill="auto"/>
                  <w:vAlign w:val="center"/>
                </w:tcPr>
                <w:p w:rsidR="00C53286" w:rsidRDefault="00C53286">
                  <w:pPr>
                    <w:widowControl/>
                    <w:jc w:val="left"/>
                    <w:rPr>
                      <w:rFonts w:ascii="仿宋" w:eastAsia="仿宋" w:hAnsi="仿宋" w:cs="宋体"/>
                      <w:b/>
                      <w:kern w:val="0"/>
                      <w:sz w:val="24"/>
                      <w:szCs w:val="24"/>
                    </w:rPr>
                  </w:pPr>
                </w:p>
              </w:tc>
            </w:tr>
          </w:tbl>
          <w:p w:rsidR="00C53286" w:rsidRDefault="00C53286">
            <w:pPr>
              <w:widowControl/>
              <w:jc w:val="left"/>
              <w:rPr>
                <w:rFonts w:ascii="仿宋" w:eastAsia="仿宋" w:hAnsi="仿宋" w:cs="宋体"/>
                <w:b/>
                <w:kern w:val="0"/>
                <w:sz w:val="24"/>
                <w:szCs w:val="24"/>
              </w:rPr>
            </w:pPr>
          </w:p>
        </w:tc>
      </w:tr>
    </w:tbl>
    <w:p w:rsidR="00C53286" w:rsidRDefault="002843B8">
      <w:pPr>
        <w:widowControl/>
        <w:jc w:val="left"/>
        <w:rPr>
          <w:rFonts w:ascii="黑体" w:eastAsia="黑体" w:hAnsi="黑体"/>
          <w:sz w:val="32"/>
        </w:rPr>
      </w:pPr>
      <w:r>
        <w:rPr>
          <w:rFonts w:ascii="黑体" w:eastAsia="黑体" w:hAnsi="黑体"/>
          <w:sz w:val="32"/>
        </w:rPr>
        <w:br w:type="page"/>
      </w:r>
    </w:p>
    <w:p w:rsidR="00C53286" w:rsidRDefault="002843B8" w:rsidP="00967296">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C53286">
        <w:trPr>
          <w:trHeight w:val="600"/>
        </w:trPr>
        <w:tc>
          <w:tcPr>
            <w:tcW w:w="14055" w:type="dxa"/>
            <w:gridSpan w:val="11"/>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C53286">
        <w:trPr>
          <w:trHeight w:val="222"/>
        </w:trPr>
        <w:tc>
          <w:tcPr>
            <w:tcW w:w="66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C53286">
        <w:trPr>
          <w:trHeight w:val="300"/>
        </w:trPr>
        <w:tc>
          <w:tcPr>
            <w:tcW w:w="1420" w:type="dxa"/>
            <w:gridSpan w:val="2"/>
            <w:tcBorders>
              <w:top w:val="nil"/>
              <w:left w:val="nil"/>
              <w:bottom w:val="nil"/>
              <w:right w:val="nil"/>
            </w:tcBorders>
            <w:shd w:val="clear" w:color="auto" w:fill="FFFFFF"/>
            <w:noWrap/>
            <w:vAlign w:val="center"/>
          </w:tcPr>
          <w:p w:rsidR="00C53286" w:rsidRDefault="002843B8">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53286" w:rsidRDefault="002843B8">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53286" w:rsidRDefault="002843B8">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53286" w:rsidRDefault="002843B8">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53286">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C53286">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53286" w:rsidRDefault="00C53286">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C53286" w:rsidRDefault="00C5328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53286" w:rsidRDefault="00C53286">
            <w:pPr>
              <w:widowControl/>
              <w:jc w:val="left"/>
              <w:rPr>
                <w:rFonts w:ascii="仿宋" w:eastAsia="仿宋" w:hAnsi="仿宋" w:cs="宋体"/>
                <w:b/>
                <w:kern w:val="0"/>
                <w:sz w:val="24"/>
                <w:szCs w:val="24"/>
              </w:rPr>
            </w:pPr>
          </w:p>
        </w:tc>
      </w:tr>
      <w:tr w:rsidR="00C53286">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53286">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C53286" w:rsidRDefault="002843B8">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53286" w:rsidRDefault="00C53286">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C53286">
            <w:pPr>
              <w:widowControl/>
              <w:jc w:val="right"/>
              <w:rPr>
                <w:rFonts w:ascii="仿宋" w:eastAsia="仿宋" w:hAnsi="仿宋" w:cs="宋体"/>
                <w:b/>
                <w:kern w:val="0"/>
                <w:sz w:val="22"/>
                <w:szCs w:val="22"/>
              </w:rPr>
            </w:pPr>
          </w:p>
        </w:tc>
      </w:tr>
      <w:tr w:rsidR="00C5328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53286" w:rsidRDefault="00C5328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53286" w:rsidRDefault="002843B8">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53286">
        <w:trPr>
          <w:trHeight w:val="645"/>
        </w:trPr>
        <w:tc>
          <w:tcPr>
            <w:tcW w:w="14055" w:type="dxa"/>
            <w:gridSpan w:val="11"/>
            <w:tcBorders>
              <w:top w:val="single" w:sz="8" w:space="0" w:color="auto"/>
              <w:left w:val="nil"/>
              <w:bottom w:val="nil"/>
              <w:right w:val="nil"/>
            </w:tcBorders>
            <w:shd w:val="clear" w:color="auto" w:fill="auto"/>
            <w:vAlign w:val="center"/>
          </w:tcPr>
          <w:p w:rsidR="00C53286" w:rsidRDefault="002843B8">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C53286" w:rsidRDefault="00C53286">
      <w:pPr>
        <w:jc w:val="center"/>
        <w:rPr>
          <w:rFonts w:ascii="方正小标宋简体" w:eastAsia="方正小标宋简体" w:hAnsi="方正小标宋简体"/>
          <w:sz w:val="44"/>
        </w:rPr>
        <w:sectPr w:rsidR="00C53286">
          <w:pgSz w:w="16838" w:h="11906" w:orient="landscape"/>
          <w:pgMar w:top="1797" w:right="1440" w:bottom="1797" w:left="1440" w:header="851" w:footer="992" w:gutter="0"/>
          <w:cols w:space="720"/>
          <w:docGrid w:linePitch="312"/>
        </w:sectPr>
      </w:pPr>
    </w:p>
    <w:p w:rsidR="00C53286" w:rsidRDefault="00C53286">
      <w:pPr>
        <w:rPr>
          <w:rFonts w:ascii="方正小标宋_GBK" w:eastAsia="方正小标宋_GBK" w:hAnsi="方正小标宋简体"/>
          <w:sz w:val="44"/>
        </w:rPr>
      </w:pPr>
    </w:p>
    <w:p w:rsidR="00C53286" w:rsidRDefault="002843B8">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C53286" w:rsidRDefault="00C53286">
      <w:pPr>
        <w:rPr>
          <w:rFonts w:ascii="仿宋" w:eastAsia="仿宋" w:hAnsi="仿宋"/>
          <w:sz w:val="32"/>
        </w:rPr>
      </w:pP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C53286" w:rsidRDefault="002843B8">
      <w:pPr>
        <w:spacing w:line="560" w:lineRule="exact"/>
        <w:ind w:firstLineChars="200" w:firstLine="640"/>
        <w:rPr>
          <w:rFonts w:ascii="仿宋" w:eastAsia="仿宋" w:hAnsi="仿宋"/>
          <w:sz w:val="32"/>
          <w:szCs w:val="32"/>
        </w:rPr>
      </w:pPr>
      <w:r>
        <w:rPr>
          <w:rFonts w:ascii="仿宋" w:eastAsia="仿宋" w:hAnsi="仿宋" w:hint="eastAsia"/>
          <w:sz w:val="32"/>
          <w:szCs w:val="32"/>
        </w:rPr>
        <w:t>按照部门决算与部门预算相衔接的原则，决算编制内容包括预算单位的全部收支情况。收入包括：</w:t>
      </w:r>
      <w:r>
        <w:rPr>
          <w:rFonts w:ascii="仿宋" w:eastAsia="仿宋" w:hAnsi="仿宋" w:hint="eastAsia"/>
          <w:color w:val="000000"/>
          <w:sz w:val="32"/>
          <w:szCs w:val="32"/>
          <w:shd w:val="clear" w:color="auto" w:fill="FFFFFF"/>
        </w:rPr>
        <w:t>财政拨款收入</w:t>
      </w:r>
      <w:r>
        <w:rPr>
          <w:rFonts w:ascii="仿宋" w:eastAsia="仿宋" w:hAnsi="仿宋" w:cs="宋体" w:hint="eastAsia"/>
          <w:kern w:val="0"/>
          <w:sz w:val="32"/>
          <w:szCs w:val="32"/>
        </w:rPr>
        <w:t>803.66</w:t>
      </w:r>
      <w:r>
        <w:rPr>
          <w:rFonts w:ascii="仿宋" w:eastAsia="仿宋" w:hAnsi="仿宋" w:hint="eastAsia"/>
          <w:sz w:val="32"/>
          <w:szCs w:val="32"/>
          <w:shd w:val="clear" w:color="auto" w:fill="FFFFFF"/>
        </w:rPr>
        <w:t>万元、其他收入</w:t>
      </w:r>
      <w:r>
        <w:rPr>
          <w:rFonts w:ascii="仿宋" w:eastAsia="仿宋" w:hAnsi="仿宋" w:cs="宋体" w:hint="eastAsia"/>
          <w:kern w:val="0"/>
          <w:sz w:val="32"/>
          <w:szCs w:val="32"/>
        </w:rPr>
        <w:t>100.06</w:t>
      </w:r>
      <w:r>
        <w:rPr>
          <w:rFonts w:ascii="仿宋" w:eastAsia="仿宋" w:hAnsi="仿宋" w:hint="eastAsia"/>
          <w:sz w:val="32"/>
          <w:szCs w:val="32"/>
          <w:shd w:val="clear" w:color="auto" w:fill="FFFFFF"/>
        </w:rPr>
        <w:t>万元，年初结转和结余</w:t>
      </w:r>
      <w:r>
        <w:rPr>
          <w:rFonts w:ascii="仿宋" w:eastAsia="仿宋" w:hAnsi="仿宋" w:cs="宋体" w:hint="eastAsia"/>
          <w:kern w:val="0"/>
          <w:sz w:val="32"/>
          <w:szCs w:val="32"/>
        </w:rPr>
        <w:t>394.38</w:t>
      </w:r>
      <w:r>
        <w:rPr>
          <w:rFonts w:ascii="仿宋" w:eastAsia="仿宋" w:hAnsi="仿宋" w:hint="eastAsia"/>
          <w:sz w:val="32"/>
          <w:szCs w:val="32"/>
          <w:shd w:val="clear" w:color="auto" w:fill="FFFFFF"/>
        </w:rPr>
        <w:t>，万元。支出包括：公共安全支出821.68万元、年末结转和结余476.42万元。</w:t>
      </w:r>
      <w:r>
        <w:rPr>
          <w:rFonts w:ascii="仿宋" w:eastAsia="仿宋" w:hAnsi="仿宋" w:hint="eastAsia"/>
          <w:sz w:val="32"/>
          <w:szCs w:val="32"/>
        </w:rPr>
        <w:t>。201年收入总计1.298.10万元，支出总计1.298.10万元。</w:t>
      </w:r>
    </w:p>
    <w:p w:rsidR="00C53286" w:rsidRDefault="002843B8">
      <w:pPr>
        <w:spacing w:line="560" w:lineRule="exact"/>
        <w:ind w:firstLineChars="200" w:firstLine="64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2019年度收入决算情况说明</w:t>
      </w:r>
    </w:p>
    <w:p w:rsidR="00C53286" w:rsidRDefault="002843B8">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903.72</w:t>
      </w:r>
      <w:r>
        <w:rPr>
          <w:rFonts w:ascii="仿宋" w:eastAsia="仿宋" w:hAnsi="仿宋" w:hint="eastAsia"/>
          <w:sz w:val="32"/>
        </w:rPr>
        <w:t>万元，</w:t>
      </w:r>
      <w:r>
        <w:rPr>
          <w:rFonts w:ascii="仿宋" w:eastAsia="仿宋" w:hAnsi="仿宋" w:hint="eastAsia"/>
          <w:sz w:val="32"/>
          <w:szCs w:val="30"/>
        </w:rPr>
        <w:t>与2018年相比增加156.92万元，增长17 %。主要原因：工资福利支出增加，政法转移支付资金增加。</w:t>
      </w:r>
      <w:r>
        <w:rPr>
          <w:rFonts w:ascii="仿宋" w:eastAsia="仿宋" w:hAnsi="仿宋" w:hint="eastAsia"/>
          <w:sz w:val="32"/>
        </w:rPr>
        <w:t>其中：财政拨款收入</w:t>
      </w:r>
      <w:r>
        <w:rPr>
          <w:rFonts w:ascii="仿宋" w:eastAsia="仿宋" w:hAnsi="仿宋" w:hint="eastAsia"/>
          <w:sz w:val="32"/>
          <w:szCs w:val="30"/>
        </w:rPr>
        <w:t>803.66</w:t>
      </w:r>
      <w:r>
        <w:rPr>
          <w:rFonts w:ascii="仿宋" w:eastAsia="仿宋" w:hAnsi="仿宋" w:hint="eastAsia"/>
          <w:sz w:val="32"/>
        </w:rPr>
        <w:t>万元，占</w:t>
      </w:r>
      <w:r>
        <w:rPr>
          <w:rFonts w:ascii="仿宋" w:eastAsia="仿宋" w:hAnsi="仿宋" w:hint="eastAsia"/>
          <w:sz w:val="32"/>
          <w:szCs w:val="30"/>
        </w:rPr>
        <w:t xml:space="preserve">88.92 </w:t>
      </w:r>
      <w:r>
        <w:rPr>
          <w:rFonts w:ascii="仿宋" w:eastAsia="仿宋" w:hAnsi="仿宋" w:hint="eastAsia"/>
          <w:sz w:val="32"/>
        </w:rPr>
        <w:t>%；其他收入 100.06 万元，占 11.08%。</w:t>
      </w: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C53286" w:rsidRDefault="002843B8">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821.68</w:t>
      </w:r>
      <w:r>
        <w:rPr>
          <w:rFonts w:ascii="仿宋" w:eastAsia="仿宋" w:hAnsi="仿宋" w:hint="eastAsia"/>
          <w:sz w:val="32"/>
        </w:rPr>
        <w:t>万元，</w:t>
      </w:r>
      <w:r>
        <w:rPr>
          <w:rFonts w:ascii="仿宋" w:eastAsia="仿宋" w:hAnsi="仿宋" w:hint="eastAsia"/>
          <w:sz w:val="32"/>
          <w:szCs w:val="30"/>
        </w:rPr>
        <w:t>与2018年相比增加85.02万元，增长10.34 %。主要原因：工资福利支出增加、一村</w:t>
      </w:r>
      <w:proofErr w:type="gramStart"/>
      <w:r>
        <w:rPr>
          <w:rFonts w:ascii="仿宋" w:eastAsia="仿宋" w:hAnsi="仿宋" w:hint="eastAsia"/>
          <w:sz w:val="32"/>
          <w:szCs w:val="30"/>
        </w:rPr>
        <w:t>一</w:t>
      </w:r>
      <w:proofErr w:type="gramEnd"/>
      <w:r>
        <w:rPr>
          <w:rFonts w:ascii="仿宋" w:eastAsia="仿宋" w:hAnsi="仿宋" w:hint="eastAsia"/>
          <w:sz w:val="32"/>
          <w:szCs w:val="30"/>
        </w:rPr>
        <w:t>法律顾问、公共法律服务中心支出增加。</w:t>
      </w:r>
      <w:r>
        <w:rPr>
          <w:rFonts w:ascii="仿宋" w:eastAsia="仿宋" w:hAnsi="仿宋" w:hint="eastAsia"/>
          <w:sz w:val="32"/>
        </w:rPr>
        <w:t>其中：基本支出</w:t>
      </w:r>
      <w:r>
        <w:rPr>
          <w:rFonts w:ascii="仿宋" w:eastAsia="仿宋" w:hAnsi="仿宋" w:hint="eastAsia"/>
          <w:sz w:val="32"/>
          <w:szCs w:val="30"/>
        </w:rPr>
        <w:t>648.07</w:t>
      </w:r>
      <w:r>
        <w:rPr>
          <w:rFonts w:ascii="仿宋" w:eastAsia="仿宋" w:hAnsi="仿宋" w:hint="eastAsia"/>
          <w:sz w:val="32"/>
        </w:rPr>
        <w:t>万元，占</w:t>
      </w:r>
      <w:r>
        <w:rPr>
          <w:rFonts w:ascii="仿宋" w:eastAsia="仿宋" w:hAnsi="仿宋" w:hint="eastAsia"/>
          <w:sz w:val="32"/>
          <w:szCs w:val="30"/>
        </w:rPr>
        <w:t xml:space="preserve">78.87 </w:t>
      </w:r>
      <w:r>
        <w:rPr>
          <w:rFonts w:ascii="仿宋" w:eastAsia="仿宋" w:hAnsi="仿宋" w:hint="eastAsia"/>
          <w:sz w:val="32"/>
        </w:rPr>
        <w:t>%；项目支出</w:t>
      </w:r>
      <w:r>
        <w:rPr>
          <w:rFonts w:ascii="仿宋" w:eastAsia="仿宋" w:hAnsi="仿宋" w:hint="eastAsia"/>
          <w:sz w:val="32"/>
          <w:szCs w:val="30"/>
        </w:rPr>
        <w:t>173.61</w:t>
      </w:r>
      <w:r>
        <w:rPr>
          <w:rFonts w:ascii="仿宋" w:eastAsia="仿宋" w:hAnsi="仿宋" w:hint="eastAsia"/>
          <w:sz w:val="32"/>
        </w:rPr>
        <w:t>万元，占</w:t>
      </w:r>
      <w:r>
        <w:rPr>
          <w:rFonts w:ascii="仿宋" w:eastAsia="仿宋" w:hAnsi="仿宋" w:hint="eastAsia"/>
          <w:sz w:val="32"/>
          <w:szCs w:val="30"/>
        </w:rPr>
        <w:t xml:space="preserve">21.13 </w:t>
      </w:r>
      <w:r>
        <w:rPr>
          <w:rFonts w:ascii="仿宋" w:eastAsia="仿宋" w:hAnsi="仿宋" w:hint="eastAsia"/>
          <w:sz w:val="32"/>
        </w:rPr>
        <w:t>%。</w:t>
      </w: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C53286" w:rsidRDefault="002843B8">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2019年财政拨款收入803.66万元,支出723.01万元，比2018年分别增加148.34万元、77.83万元，增长18.45%、增长10.76%。主要原因：政法转移支付资金增加，公共法律</w:t>
      </w:r>
      <w:r>
        <w:rPr>
          <w:rFonts w:ascii="仿宋" w:eastAsia="仿宋" w:hAnsi="仿宋" w:hint="eastAsia"/>
          <w:sz w:val="32"/>
          <w:szCs w:val="30"/>
        </w:rPr>
        <w:lastRenderedPageBreak/>
        <w:t>服务中心支出增加。</w:t>
      </w: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C53286" w:rsidRDefault="002843B8">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53286" w:rsidRDefault="002843B8">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2019年财政拨款支出723.01万元，占本年支出合计的87.99%。与2018年相比，财政拨款支出77.83万元，增长21.52%。主要原因：公共法律服务中心支出增加。</w:t>
      </w:r>
    </w:p>
    <w:p w:rsidR="00C53286" w:rsidRDefault="002843B8">
      <w:pPr>
        <w:numPr>
          <w:ilvl w:val="0"/>
          <w:numId w:val="2"/>
        </w:numPr>
        <w:spacing w:line="560" w:lineRule="exact"/>
        <w:rPr>
          <w:rFonts w:ascii="仿宋" w:eastAsia="仿宋" w:hAnsi="仿宋"/>
          <w:sz w:val="32"/>
          <w:szCs w:val="30"/>
        </w:rPr>
      </w:pPr>
      <w:r>
        <w:rPr>
          <w:rFonts w:ascii="楷体" w:eastAsia="楷体" w:hAnsi="楷体" w:hint="eastAsia"/>
          <w:b/>
          <w:bCs/>
          <w:sz w:val="32"/>
        </w:rPr>
        <w:t>财政拨款支出决算结构情况</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rPr>
        <w:t>长春市双阳区司法局</w:t>
      </w:r>
      <w:r>
        <w:rPr>
          <w:rFonts w:ascii="仿宋" w:eastAsia="仿宋" w:hAnsi="仿宋" w:hint="eastAsia"/>
          <w:sz w:val="32"/>
          <w:szCs w:val="30"/>
        </w:rPr>
        <w:t>2019年财政拨款支出723.01万元，主要用于以下方面：公共安全支出：司法支出723.01万元，占100%。</w:t>
      </w:r>
    </w:p>
    <w:p w:rsidR="00C53286" w:rsidRDefault="002843B8">
      <w:pPr>
        <w:spacing w:line="560" w:lineRule="exact"/>
        <w:ind w:left="640"/>
        <w:rPr>
          <w:rFonts w:ascii="楷体" w:eastAsia="楷体" w:hAnsi="楷体"/>
          <w:b/>
          <w:bCs/>
          <w:sz w:val="32"/>
        </w:rPr>
      </w:pPr>
      <w:r>
        <w:rPr>
          <w:rFonts w:ascii="楷体" w:eastAsia="楷体" w:hAnsi="楷体" w:hint="eastAsia"/>
          <w:b/>
          <w:bCs/>
          <w:sz w:val="32"/>
        </w:rPr>
        <w:t>（三）财政拨款支出决算具体情况</w:t>
      </w:r>
    </w:p>
    <w:p w:rsidR="00C53286" w:rsidRDefault="002843B8">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2019年财政拨款支出年初预算为390.47万元，支出决算为723.01万元，完成年初预算的185%。主要原因：公共法律服务中心内部改造支出增加。</w:t>
      </w: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549.40万元，其中：人员经费477.25万元，主要包括：工资福利支出447.89万元，基本工资144.89万元、津贴补贴138.06万元、奖金86.30万元、其他社会保障缴费1.07万元、机关事业单位基本养老保险缴费34.63万元、职工基本医疗缴费13.98万元、住房公积金23.99万元。其他对个人和家庭的补助支出29.37万元，主要包括：退休费11.69万元、抚恤金16.12万元、生活补助1.55万元。</w:t>
      </w:r>
    </w:p>
    <w:p w:rsidR="00C53286" w:rsidRDefault="002843B8">
      <w:pPr>
        <w:spacing w:line="560" w:lineRule="exact"/>
        <w:rPr>
          <w:rFonts w:ascii="仿宋" w:eastAsia="仿宋" w:hAnsi="仿宋"/>
          <w:sz w:val="32"/>
        </w:rPr>
      </w:pPr>
      <w:r>
        <w:rPr>
          <w:rFonts w:ascii="仿宋" w:eastAsia="仿宋" w:hAnsi="仿宋" w:hint="eastAsia"/>
          <w:sz w:val="32"/>
          <w:szCs w:val="30"/>
        </w:rPr>
        <w:lastRenderedPageBreak/>
        <w:t xml:space="preserve">    </w:t>
      </w:r>
      <w:r>
        <w:rPr>
          <w:rFonts w:ascii="仿宋" w:eastAsia="仿宋" w:hAnsi="仿宋" w:hint="eastAsia"/>
          <w:sz w:val="32"/>
        </w:rPr>
        <w:t>公用经费</w:t>
      </w:r>
      <w:r>
        <w:rPr>
          <w:rFonts w:ascii="仿宋" w:eastAsia="仿宋" w:hAnsi="仿宋" w:hint="eastAsia"/>
          <w:sz w:val="32"/>
          <w:szCs w:val="30"/>
        </w:rPr>
        <w:t>72.15</w:t>
      </w:r>
      <w:r>
        <w:rPr>
          <w:rFonts w:ascii="仿宋" w:eastAsia="仿宋" w:hAnsi="仿宋" w:hint="eastAsia"/>
          <w:sz w:val="32"/>
        </w:rPr>
        <w:t>万元，主要包括：办公费9.98万元、印刷费1.30万元、、手续费0.17万元、、水费0.50万元、电费0.16万元、邮电费2.08万元、取暖费1.99万元、差旅费6.73万元，、维修（护）费0.58万元，公务接待费0.10万元、劳务费2.08万元、公务用车运行维护费16.15万元、其他交通费用24.42万元、其他商品和服务支出5.91万元。</w:t>
      </w:r>
    </w:p>
    <w:p w:rsidR="00C53286" w:rsidRDefault="002843B8">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C53286" w:rsidRDefault="002843B8">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2019年“三公”经费财政拨款支出预算为16.00万元，支出决算为16.25万元，完成预算的101.56%。2019年“三公”经费支出决算数大预算数的主要原因公务用车运行维护费2018年有结余、省厅市局来了两次考核调研。</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2019年“三公”经费财政拨款支出决算数比2018年减少56.80万元，降低77.75%。其中：公务用车购置及运行费支出减少56.80万元，降低77.75%；主要原因，2019年没有采购车辆。</w:t>
      </w:r>
    </w:p>
    <w:p w:rsidR="00C53286" w:rsidRDefault="002843B8">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2.公务用车购置及运行费支出16.15万元。其中公务用车购置0.00万元；公务用车运行支出为16.15万元，主要用于执法执勤车辆加油、维修、保险等。2019年，开支财政拨款的公务用车保有量为8辆。</w:t>
      </w:r>
    </w:p>
    <w:p w:rsidR="00C53286" w:rsidRDefault="002843B8">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3.公务接待费支出0.10万元，主要用于省厅市局来考</w:t>
      </w:r>
      <w:r>
        <w:rPr>
          <w:rFonts w:ascii="仿宋" w:eastAsia="仿宋" w:hAnsi="仿宋" w:hint="eastAsia"/>
          <w:sz w:val="32"/>
          <w:szCs w:val="30"/>
        </w:rPr>
        <w:lastRenderedPageBreak/>
        <w:t>核调研。</w:t>
      </w:r>
    </w:p>
    <w:p w:rsidR="00C53286" w:rsidRDefault="002843B8">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C53286" w:rsidRDefault="002843B8">
      <w:pPr>
        <w:spacing w:line="560" w:lineRule="exact"/>
        <w:ind w:firstLineChars="200" w:firstLine="640"/>
        <w:rPr>
          <w:rFonts w:ascii="仿宋" w:eastAsia="仿宋" w:hAnsi="仿宋"/>
          <w:sz w:val="32"/>
        </w:rPr>
      </w:pPr>
      <w:r>
        <w:rPr>
          <w:rFonts w:ascii="仿宋" w:eastAsia="仿宋" w:hAnsi="仿宋" w:hint="eastAsia"/>
          <w:sz w:val="32"/>
          <w:szCs w:val="30"/>
        </w:rPr>
        <w:t>长春市双阳区司法局2018年无政府性基金。</w:t>
      </w:r>
    </w:p>
    <w:p w:rsidR="00C53286" w:rsidRDefault="002843B8">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C53286" w:rsidRDefault="002843B8">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C53286" w:rsidRDefault="002843B8">
      <w:pPr>
        <w:spacing w:line="560" w:lineRule="exact"/>
        <w:ind w:firstLineChars="200" w:firstLine="640"/>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rPr>
        <w:t>2019年长春市双阳区司法局机关运行经费财政拨款支出72.15万元，比2018年增加2.51元，增加3.47</w:t>
      </w:r>
      <w:r>
        <w:rPr>
          <w:rFonts w:ascii="仿宋" w:eastAsia="仿宋" w:hAnsi="仿宋" w:hint="eastAsia"/>
          <w:sz w:val="32"/>
          <w:szCs w:val="30"/>
        </w:rPr>
        <w:t>%</w:t>
      </w:r>
      <w:r>
        <w:rPr>
          <w:rFonts w:ascii="仿宋" w:eastAsia="仿宋" w:hAnsi="仿宋" w:hint="eastAsia"/>
          <w:sz w:val="32"/>
        </w:rPr>
        <w:t>。主要原因公共法律服务中心费用增加</w:t>
      </w:r>
      <w:r>
        <w:rPr>
          <w:rFonts w:ascii="仿宋" w:eastAsia="仿宋" w:hAnsi="仿宋" w:hint="eastAsia"/>
          <w:sz w:val="32"/>
          <w:szCs w:val="30"/>
        </w:rPr>
        <w:t>。</w:t>
      </w:r>
    </w:p>
    <w:p w:rsidR="00C53286" w:rsidRDefault="002843B8">
      <w:pPr>
        <w:spacing w:line="560" w:lineRule="exact"/>
        <w:ind w:firstLineChars="200" w:firstLine="643"/>
        <w:rPr>
          <w:rFonts w:ascii="仿宋" w:eastAsia="仿宋" w:hAnsi="仿宋"/>
          <w:sz w:val="32"/>
        </w:rPr>
      </w:pPr>
      <w:r>
        <w:rPr>
          <w:rFonts w:ascii="楷体" w:eastAsia="楷体" w:hAnsi="楷体" w:hint="eastAsia"/>
          <w:b/>
          <w:sz w:val="32"/>
        </w:rPr>
        <w:t>（二）政府采购支出情况</w:t>
      </w:r>
      <w:r>
        <w:rPr>
          <w:rFonts w:ascii="仿宋" w:eastAsia="仿宋" w:hAnsi="仿宋" w:hint="eastAsia"/>
          <w:sz w:val="32"/>
        </w:rPr>
        <w:t>2019年长春市双阳区司法局政府采购支出总额30万元，其中：政府购买服务支出30万元。</w:t>
      </w:r>
    </w:p>
    <w:p w:rsidR="00C53286" w:rsidRDefault="002843B8">
      <w:pPr>
        <w:spacing w:line="560" w:lineRule="exact"/>
        <w:ind w:firstLineChars="200" w:firstLine="643"/>
        <w:rPr>
          <w:rFonts w:ascii="楷体" w:eastAsia="楷体" w:hAnsi="楷体"/>
          <w:b/>
          <w:sz w:val="32"/>
        </w:rPr>
      </w:pPr>
      <w:r>
        <w:rPr>
          <w:rFonts w:ascii="楷体" w:eastAsia="楷体" w:hAnsi="楷体" w:hint="eastAsia"/>
          <w:b/>
          <w:sz w:val="32"/>
        </w:rPr>
        <w:t>（三）国有资产占用情况</w:t>
      </w:r>
    </w:p>
    <w:p w:rsidR="00C53286" w:rsidRDefault="002843B8">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8</w:t>
      </w:r>
      <w:r>
        <w:rPr>
          <w:rFonts w:ascii="仿宋" w:eastAsia="仿宋" w:hAnsi="仿宋" w:hint="eastAsia"/>
          <w:sz w:val="32"/>
        </w:rPr>
        <w:t>辆，</w:t>
      </w:r>
      <w:r>
        <w:rPr>
          <w:rFonts w:ascii="仿宋" w:eastAsia="仿宋" w:hAnsi="仿宋" w:hint="eastAsia"/>
          <w:sz w:val="32"/>
          <w:szCs w:val="30"/>
        </w:rPr>
        <w:t>其中，执法执勤用车8辆。</w:t>
      </w:r>
    </w:p>
    <w:p w:rsidR="00C53286" w:rsidRDefault="002843B8">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53286" w:rsidRDefault="002843B8">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C53286" w:rsidRDefault="00C53286">
      <w:pPr>
        <w:spacing w:line="560" w:lineRule="exact"/>
        <w:ind w:firstLineChars="200" w:firstLine="640"/>
        <w:rPr>
          <w:rFonts w:ascii="仿宋" w:eastAsia="仿宋" w:hAnsi="仿宋"/>
          <w:sz w:val="32"/>
        </w:rPr>
      </w:pPr>
    </w:p>
    <w:p w:rsidR="00C53286" w:rsidRDefault="002843B8" w:rsidP="00967296">
      <w:pPr>
        <w:spacing w:line="560" w:lineRule="exact"/>
        <w:ind w:firstLineChars="200" w:firstLine="643"/>
        <w:rPr>
          <w:rFonts w:ascii="仿宋" w:eastAsia="仿宋" w:hAnsi="仿宋"/>
          <w:color w:val="000000" w:themeColor="text1"/>
          <w:sz w:val="32"/>
        </w:rPr>
      </w:pPr>
      <w:r>
        <w:rPr>
          <w:rFonts w:ascii="仿宋" w:eastAsia="仿宋" w:hAnsi="仿宋" w:hint="eastAsia"/>
          <w:b/>
          <w:bCs/>
          <w:color w:val="000000" w:themeColor="text1"/>
          <w:sz w:val="32"/>
        </w:rPr>
        <w:t>一、财政拨款收入：</w:t>
      </w:r>
      <w:r>
        <w:rPr>
          <w:rFonts w:ascii="仿宋" w:eastAsia="仿宋" w:hAnsi="仿宋" w:hint="eastAsia"/>
          <w:color w:val="000000" w:themeColor="text1"/>
          <w:sz w:val="32"/>
        </w:rPr>
        <w:t>指区级财政当年拨付的资金。</w:t>
      </w:r>
    </w:p>
    <w:p w:rsidR="00C53286" w:rsidRDefault="002843B8" w:rsidP="00967296">
      <w:pPr>
        <w:autoSpaceDN w:val="0"/>
        <w:spacing w:line="560" w:lineRule="exact"/>
        <w:ind w:firstLineChars="200" w:firstLine="643"/>
        <w:rPr>
          <w:rFonts w:ascii="仿宋" w:eastAsia="仿宋" w:hAnsi="仿宋"/>
          <w:color w:val="000000" w:themeColor="text1"/>
          <w:sz w:val="32"/>
        </w:rPr>
      </w:pPr>
      <w:r>
        <w:rPr>
          <w:rFonts w:ascii="仿宋" w:eastAsia="仿宋" w:hAnsi="仿宋" w:hint="eastAsia"/>
          <w:b/>
          <w:bCs/>
          <w:color w:val="000000" w:themeColor="text1"/>
          <w:sz w:val="32"/>
        </w:rPr>
        <w:t>二、其他收入：</w:t>
      </w:r>
      <w:r>
        <w:rPr>
          <w:rFonts w:ascii="仿宋" w:eastAsia="仿宋" w:hAnsi="仿宋" w:hint="eastAsia"/>
          <w:color w:val="000000" w:themeColor="text1"/>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bookmarkStart w:id="6" w:name="_GoBack"/>
      <w:bookmarkEnd w:id="6"/>
    </w:p>
    <w:p w:rsidR="00C53286" w:rsidRDefault="002843B8" w:rsidP="00967296">
      <w:pPr>
        <w:autoSpaceDN w:val="0"/>
        <w:spacing w:line="560" w:lineRule="exact"/>
        <w:ind w:firstLineChars="200" w:firstLine="643"/>
        <w:rPr>
          <w:rFonts w:ascii="仿宋" w:eastAsia="仿宋" w:hAnsi="仿宋"/>
          <w:color w:val="000000" w:themeColor="text1"/>
          <w:sz w:val="32"/>
        </w:rPr>
      </w:pPr>
      <w:r>
        <w:rPr>
          <w:rFonts w:ascii="仿宋" w:eastAsia="仿宋" w:hAnsi="仿宋" w:hint="eastAsia"/>
          <w:b/>
          <w:bCs/>
          <w:color w:val="000000" w:themeColor="text1"/>
          <w:sz w:val="32"/>
        </w:rPr>
        <w:t>三、</w:t>
      </w:r>
      <w:r>
        <w:rPr>
          <w:rFonts w:ascii="仿宋" w:eastAsia="仿宋" w:hAnsi="仿宋"/>
          <w:b/>
          <w:bCs/>
          <w:color w:val="000000" w:themeColor="text1"/>
          <w:sz w:val="32"/>
        </w:rPr>
        <w:t>基本支出：</w:t>
      </w:r>
      <w:r>
        <w:rPr>
          <w:rFonts w:ascii="仿宋" w:eastAsia="仿宋" w:hAnsi="仿宋" w:hint="eastAsia"/>
          <w:color w:val="000000" w:themeColor="text1"/>
          <w:sz w:val="32"/>
        </w:rPr>
        <w:t>指</w:t>
      </w:r>
      <w:r>
        <w:rPr>
          <w:rFonts w:ascii="仿宋" w:eastAsia="仿宋" w:hAnsi="仿宋"/>
          <w:color w:val="000000" w:themeColor="text1"/>
          <w:sz w:val="32"/>
        </w:rPr>
        <w:t>为保障机构正常运转、完成日常工作任务而发生的</w:t>
      </w:r>
      <w:r>
        <w:rPr>
          <w:rFonts w:ascii="仿宋" w:eastAsia="仿宋" w:hAnsi="仿宋" w:hint="eastAsia"/>
          <w:color w:val="000000" w:themeColor="text1"/>
          <w:sz w:val="32"/>
        </w:rPr>
        <w:t>人员支出和公用支出等</w:t>
      </w:r>
      <w:r>
        <w:rPr>
          <w:rFonts w:ascii="仿宋" w:eastAsia="仿宋" w:hAnsi="仿宋"/>
          <w:color w:val="000000" w:themeColor="text1"/>
          <w:sz w:val="32"/>
        </w:rPr>
        <w:t>各项支出。</w:t>
      </w:r>
    </w:p>
    <w:p w:rsidR="00C53286" w:rsidRDefault="002843B8" w:rsidP="00967296">
      <w:pPr>
        <w:autoSpaceDN w:val="0"/>
        <w:spacing w:line="560" w:lineRule="exact"/>
        <w:ind w:firstLineChars="200" w:firstLine="643"/>
        <w:rPr>
          <w:rFonts w:ascii="仿宋" w:eastAsia="仿宋" w:hAnsi="仿宋"/>
          <w:color w:val="000000" w:themeColor="text1"/>
          <w:sz w:val="32"/>
        </w:rPr>
      </w:pPr>
      <w:r>
        <w:rPr>
          <w:rFonts w:ascii="仿宋" w:eastAsia="仿宋" w:hAnsi="仿宋" w:hint="eastAsia"/>
          <w:b/>
          <w:bCs/>
          <w:color w:val="000000" w:themeColor="text1"/>
          <w:sz w:val="32"/>
        </w:rPr>
        <w:t>四、</w:t>
      </w:r>
      <w:r>
        <w:rPr>
          <w:rFonts w:ascii="仿宋" w:eastAsia="仿宋" w:hAnsi="仿宋"/>
          <w:b/>
          <w:bCs/>
          <w:color w:val="000000" w:themeColor="text1"/>
          <w:sz w:val="32"/>
        </w:rPr>
        <w:t>项目支出：</w:t>
      </w:r>
      <w:r>
        <w:rPr>
          <w:rFonts w:ascii="仿宋" w:eastAsia="仿宋" w:hAnsi="仿宋" w:hint="eastAsia"/>
          <w:color w:val="000000" w:themeColor="text1"/>
          <w:sz w:val="32"/>
        </w:rPr>
        <w:t>指</w:t>
      </w:r>
      <w:r>
        <w:rPr>
          <w:rFonts w:ascii="仿宋" w:eastAsia="仿宋" w:hAnsi="仿宋"/>
          <w:color w:val="000000" w:themeColor="text1"/>
          <w:sz w:val="32"/>
        </w:rPr>
        <w:t>在基本支出之外为完成特定行政工作任务</w:t>
      </w:r>
      <w:r>
        <w:rPr>
          <w:rFonts w:ascii="仿宋" w:eastAsia="仿宋" w:hAnsi="仿宋" w:hint="eastAsia"/>
          <w:color w:val="000000" w:themeColor="text1"/>
          <w:sz w:val="32"/>
        </w:rPr>
        <w:t>和</w:t>
      </w:r>
      <w:r>
        <w:rPr>
          <w:rFonts w:ascii="仿宋" w:eastAsia="仿宋" w:hAnsi="仿宋"/>
          <w:color w:val="000000" w:themeColor="text1"/>
          <w:sz w:val="32"/>
        </w:rPr>
        <w:t>事业发展目标</w:t>
      </w:r>
      <w:r>
        <w:rPr>
          <w:rFonts w:ascii="仿宋" w:eastAsia="仿宋" w:hAnsi="仿宋" w:hint="eastAsia"/>
          <w:color w:val="000000" w:themeColor="text1"/>
          <w:sz w:val="32"/>
        </w:rPr>
        <w:t>所</w:t>
      </w:r>
      <w:r>
        <w:rPr>
          <w:rFonts w:ascii="仿宋" w:eastAsia="仿宋" w:hAnsi="仿宋"/>
          <w:color w:val="000000" w:themeColor="text1"/>
          <w:sz w:val="32"/>
        </w:rPr>
        <w:t>发生的各项支出。</w:t>
      </w:r>
    </w:p>
    <w:p w:rsidR="00C53286" w:rsidRDefault="002843B8" w:rsidP="00967296">
      <w:pPr>
        <w:autoSpaceDN w:val="0"/>
        <w:spacing w:line="560" w:lineRule="exact"/>
        <w:ind w:firstLineChars="200" w:firstLine="643"/>
        <w:rPr>
          <w:rFonts w:ascii="仿宋" w:eastAsia="仿宋" w:hAnsi="仿宋"/>
          <w:color w:val="000000" w:themeColor="text1"/>
          <w:sz w:val="32"/>
        </w:rPr>
      </w:pPr>
      <w:r>
        <w:rPr>
          <w:rFonts w:ascii="仿宋" w:eastAsia="仿宋" w:hAnsi="仿宋" w:hint="eastAsia"/>
          <w:b/>
          <w:bCs/>
          <w:color w:val="000000" w:themeColor="text1"/>
          <w:sz w:val="32"/>
        </w:rPr>
        <w:t>五、</w:t>
      </w:r>
      <w:r>
        <w:rPr>
          <w:rFonts w:ascii="仿宋" w:eastAsia="仿宋" w:hAnsi="仿宋"/>
          <w:b/>
          <w:bCs/>
          <w:color w:val="000000" w:themeColor="text1"/>
          <w:sz w:val="32"/>
        </w:rPr>
        <w:t>年初结转和结余</w:t>
      </w:r>
      <w:r>
        <w:rPr>
          <w:rFonts w:ascii="仿宋" w:eastAsia="仿宋" w:hAnsi="仿宋" w:hint="eastAsia"/>
          <w:b/>
          <w:bCs/>
          <w:color w:val="000000" w:themeColor="text1"/>
          <w:sz w:val="32"/>
        </w:rPr>
        <w:t>：</w:t>
      </w:r>
      <w:r>
        <w:rPr>
          <w:rFonts w:ascii="仿宋" w:eastAsia="仿宋" w:hAnsi="仿宋" w:hint="eastAsia"/>
          <w:color w:val="000000" w:themeColor="text1"/>
          <w:sz w:val="32"/>
        </w:rPr>
        <w:t>指以前年度尚未完成、结转到本年仍按原规定用途继续使用的资金，或项目已完成等产生的结余资金。</w:t>
      </w:r>
    </w:p>
    <w:p w:rsidR="00C53286" w:rsidRDefault="002843B8" w:rsidP="00967296">
      <w:pPr>
        <w:autoSpaceDN w:val="0"/>
        <w:spacing w:line="560" w:lineRule="exact"/>
        <w:ind w:firstLineChars="200" w:firstLine="643"/>
        <w:rPr>
          <w:rFonts w:ascii="仿宋" w:eastAsia="仿宋" w:hAnsi="仿宋"/>
          <w:sz w:val="32"/>
        </w:rPr>
      </w:pPr>
      <w:r>
        <w:rPr>
          <w:rFonts w:ascii="仿宋" w:eastAsia="仿宋" w:hAnsi="仿宋" w:hint="eastAsia"/>
          <w:b/>
          <w:bCs/>
          <w:color w:val="000000" w:themeColor="text1"/>
          <w:sz w:val="32"/>
        </w:rPr>
        <w:t>六、</w:t>
      </w:r>
      <w:r>
        <w:rPr>
          <w:rFonts w:ascii="仿宋" w:eastAsia="仿宋" w:hAnsi="仿宋"/>
          <w:b/>
          <w:bCs/>
          <w:color w:val="000000" w:themeColor="text1"/>
          <w:sz w:val="32"/>
        </w:rPr>
        <w:t>年末结转和结余：</w:t>
      </w:r>
      <w:r>
        <w:rPr>
          <w:rFonts w:ascii="仿宋" w:eastAsia="仿宋" w:hAnsi="仿宋" w:hint="eastAsia"/>
          <w:color w:val="000000" w:themeColor="text1"/>
          <w:sz w:val="32"/>
        </w:rPr>
        <w:t>指事业单位按有关规定结转到下年或以后年度继续使用的资金，或项目已完成等产生的结</w:t>
      </w:r>
      <w:r>
        <w:rPr>
          <w:rFonts w:ascii="仿宋" w:eastAsia="仿宋" w:hAnsi="仿宋" w:hint="eastAsia"/>
          <w:sz w:val="32"/>
        </w:rPr>
        <w:t>余资金。</w:t>
      </w:r>
    </w:p>
    <w:p w:rsidR="00C53286" w:rsidRDefault="002843B8" w:rsidP="00967296">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w:t>
      </w:r>
      <w:r>
        <w:rPr>
          <w:rFonts w:ascii="仿宋" w:eastAsia="仿宋" w:hAnsi="仿宋" w:hint="eastAsia"/>
          <w:sz w:val="32"/>
        </w:rPr>
        <w:lastRenderedPageBreak/>
        <w:t>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C53286" w:rsidRDefault="002843B8" w:rsidP="00967296">
      <w:pPr>
        <w:autoSpaceDN w:val="0"/>
        <w:spacing w:line="560" w:lineRule="exact"/>
        <w:ind w:firstLineChars="200" w:firstLine="643"/>
        <w:rPr>
          <w:rFonts w:ascii="仿宋" w:eastAsia="仿宋" w:hAnsi="仿宋"/>
          <w:sz w:val="32"/>
        </w:rPr>
      </w:pPr>
      <w:r>
        <w:rPr>
          <w:rFonts w:ascii="仿宋" w:eastAsia="仿宋" w:hAnsi="仿宋" w:hint="eastAsia"/>
          <w:b/>
          <w:bCs/>
          <w:sz w:val="32"/>
        </w:rPr>
        <w:t>八、机关运行经费：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53286" w:rsidRDefault="00C53286">
      <w:pPr>
        <w:autoSpaceDN w:val="0"/>
        <w:spacing w:line="560" w:lineRule="exact"/>
        <w:ind w:firstLineChars="200" w:firstLine="643"/>
        <w:rPr>
          <w:rFonts w:ascii="仿宋" w:eastAsia="仿宋" w:hAnsi="仿宋"/>
          <w:b/>
          <w:sz w:val="32"/>
        </w:rPr>
      </w:pPr>
    </w:p>
    <w:sectPr w:rsidR="00C53286">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41" w:rsidRDefault="00727941">
      <w:r>
        <w:separator/>
      </w:r>
    </w:p>
  </w:endnote>
  <w:endnote w:type="continuationSeparator" w:id="0">
    <w:p w:rsidR="00727941" w:rsidRDefault="0072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86" w:rsidRDefault="002843B8">
    <w:pPr>
      <w:pStyle w:val="a3"/>
      <w:framePr w:wrap="around" w:vAnchor="text" w:hAnchor="margin" w:xAlign="center" w:yAlign="top"/>
    </w:pPr>
    <w:r>
      <w:fldChar w:fldCharType="begin"/>
    </w:r>
    <w:r>
      <w:rPr>
        <w:rStyle w:val="a6"/>
      </w:rPr>
      <w:instrText xml:space="preserve"> PAGE  </w:instrText>
    </w:r>
    <w:r>
      <w:fldChar w:fldCharType="separate"/>
    </w:r>
    <w:r w:rsidR="00CC7D79">
      <w:rPr>
        <w:rStyle w:val="a6"/>
        <w:noProof/>
      </w:rPr>
      <w:t>19</w:t>
    </w:r>
    <w:r>
      <w:fldChar w:fldCharType="end"/>
    </w:r>
  </w:p>
  <w:p w:rsidR="00C53286" w:rsidRDefault="00C532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41" w:rsidRDefault="00727941">
      <w:r>
        <w:separator/>
      </w:r>
    </w:p>
  </w:footnote>
  <w:footnote w:type="continuationSeparator" w:id="0">
    <w:p w:rsidR="00727941" w:rsidRDefault="0072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abstractNum w:abstractNumId="1">
    <w:nsid w:val="67BD0833"/>
    <w:multiLevelType w:val="singleLevel"/>
    <w:tmpl w:val="67BD0833"/>
    <w:lvl w:ilvl="0">
      <w:start w:val="2"/>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843B8"/>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27941"/>
    <w:rsid w:val="00751BB1"/>
    <w:rsid w:val="00752C0A"/>
    <w:rsid w:val="00766A49"/>
    <w:rsid w:val="0079732C"/>
    <w:rsid w:val="007B14C5"/>
    <w:rsid w:val="007B601B"/>
    <w:rsid w:val="007C4C2F"/>
    <w:rsid w:val="007F3FFC"/>
    <w:rsid w:val="00805A22"/>
    <w:rsid w:val="00827298"/>
    <w:rsid w:val="00845090"/>
    <w:rsid w:val="00846256"/>
    <w:rsid w:val="008B3E08"/>
    <w:rsid w:val="008B4531"/>
    <w:rsid w:val="008D21BE"/>
    <w:rsid w:val="008D6371"/>
    <w:rsid w:val="008D763A"/>
    <w:rsid w:val="009258DB"/>
    <w:rsid w:val="00941474"/>
    <w:rsid w:val="00967296"/>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53286"/>
    <w:rsid w:val="00C82009"/>
    <w:rsid w:val="00C9184F"/>
    <w:rsid w:val="00CB4BDA"/>
    <w:rsid w:val="00CC52B0"/>
    <w:rsid w:val="00CC7D79"/>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3511305"/>
    <w:rsid w:val="14424B64"/>
    <w:rsid w:val="149A7217"/>
    <w:rsid w:val="16650D5D"/>
    <w:rsid w:val="16BA16A6"/>
    <w:rsid w:val="17A9728B"/>
    <w:rsid w:val="17B3432A"/>
    <w:rsid w:val="18BD2904"/>
    <w:rsid w:val="19503578"/>
    <w:rsid w:val="19863355"/>
    <w:rsid w:val="19FB6DA2"/>
    <w:rsid w:val="1A3056D8"/>
    <w:rsid w:val="1A86746F"/>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AA6C1C"/>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52305F7"/>
    <w:rsid w:val="46952593"/>
    <w:rsid w:val="46D949EB"/>
    <w:rsid w:val="475F4668"/>
    <w:rsid w:val="47E07977"/>
    <w:rsid w:val="484B52B5"/>
    <w:rsid w:val="48626CF9"/>
    <w:rsid w:val="48757905"/>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217A0"/>
    <w:rsid w:val="52DE564C"/>
    <w:rsid w:val="53B51A78"/>
    <w:rsid w:val="5433756D"/>
    <w:rsid w:val="544B604C"/>
    <w:rsid w:val="56276642"/>
    <w:rsid w:val="565E2966"/>
    <w:rsid w:val="582C452B"/>
    <w:rsid w:val="58AC562C"/>
    <w:rsid w:val="5919472F"/>
    <w:rsid w:val="598C5E68"/>
    <w:rsid w:val="599C5485"/>
    <w:rsid w:val="59B913DD"/>
    <w:rsid w:val="59C15939"/>
    <w:rsid w:val="59E34416"/>
    <w:rsid w:val="5A574333"/>
    <w:rsid w:val="5B594BDF"/>
    <w:rsid w:val="5B67293C"/>
    <w:rsid w:val="5BC1770A"/>
    <w:rsid w:val="5C824D18"/>
    <w:rsid w:val="5DBF1EE1"/>
    <w:rsid w:val="5DCB486F"/>
    <w:rsid w:val="5DE51A21"/>
    <w:rsid w:val="5ECE5F09"/>
    <w:rsid w:val="5EF3424E"/>
    <w:rsid w:val="5EF65BE6"/>
    <w:rsid w:val="5F636D4B"/>
    <w:rsid w:val="5FF70BFB"/>
    <w:rsid w:val="5FF75A67"/>
    <w:rsid w:val="609A0319"/>
    <w:rsid w:val="60A43501"/>
    <w:rsid w:val="60EB57EC"/>
    <w:rsid w:val="61342421"/>
    <w:rsid w:val="63647DB9"/>
    <w:rsid w:val="637C576C"/>
    <w:rsid w:val="639A23F6"/>
    <w:rsid w:val="640259CE"/>
    <w:rsid w:val="64617F46"/>
    <w:rsid w:val="65101944"/>
    <w:rsid w:val="661A28ED"/>
    <w:rsid w:val="675454F2"/>
    <w:rsid w:val="69126268"/>
    <w:rsid w:val="6993314E"/>
    <w:rsid w:val="6A442FBD"/>
    <w:rsid w:val="6AE30D66"/>
    <w:rsid w:val="6C012400"/>
    <w:rsid w:val="6C252800"/>
    <w:rsid w:val="6CC84C24"/>
    <w:rsid w:val="6D31535F"/>
    <w:rsid w:val="6D42284E"/>
    <w:rsid w:val="6D98541F"/>
    <w:rsid w:val="6E5F0718"/>
    <w:rsid w:val="6F92352B"/>
    <w:rsid w:val="6FC1378E"/>
    <w:rsid w:val="6FDB54A8"/>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8C62424"/>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D82A1-82B3-456B-9D00-BA6EE5CB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1315</Words>
  <Characters>7497</Characters>
  <Application>Microsoft Office Word</Application>
  <DocSecurity>0</DocSecurity>
  <Lines>62</Lines>
  <Paragraphs>17</Paragraphs>
  <ScaleCrop>false</ScaleCrop>
  <Company>P R C</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