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7F88" w:rsidRDefault="00C17F88"/>
    <w:p w:rsidR="00C17F88" w:rsidRDefault="00C17F88"/>
    <w:p w:rsidR="00C17F88" w:rsidRDefault="00C17F88"/>
    <w:p w:rsidR="00C17F88" w:rsidRDefault="00D87A9E" w:rsidP="00D87A9E">
      <w:pPr>
        <w:tabs>
          <w:tab w:val="left" w:pos="4705"/>
        </w:tabs>
      </w:pPr>
      <w:r>
        <w:tab/>
      </w:r>
    </w:p>
    <w:p w:rsidR="00C17F88" w:rsidRDefault="00C17F88"/>
    <w:p w:rsidR="00C17F88" w:rsidRDefault="00C17F88"/>
    <w:p w:rsidR="00C17F88" w:rsidRDefault="00C17F88"/>
    <w:p w:rsidR="00C17F88" w:rsidRDefault="00C17F88"/>
    <w:p w:rsidR="00C17F88" w:rsidRDefault="00D87A9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2019年度</w:t>
      </w:r>
    </w:p>
    <w:p w:rsidR="00C17F88" w:rsidRDefault="00C17F88">
      <w:pPr>
        <w:jc w:val="center"/>
        <w:rPr>
          <w:rFonts w:ascii="方正小标宋_GBK" w:eastAsia="方正小标宋_GBK" w:hAnsi="Arial" w:cs="Arial"/>
          <w:sz w:val="44"/>
          <w:szCs w:val="44"/>
        </w:rPr>
      </w:pPr>
    </w:p>
    <w:p w:rsidR="00C17F88" w:rsidRDefault="00D87A9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长春市双阳区教育局（汇总）部门决算</w:t>
      </w:r>
    </w:p>
    <w:p w:rsidR="00C17F88" w:rsidRDefault="00C17F88">
      <w:pPr>
        <w:jc w:val="center"/>
        <w:rPr>
          <w:rFonts w:ascii="Arial" w:eastAsia="方正小标宋简体" w:hAnsi="Arial" w:cs="Arial"/>
          <w:sz w:val="44"/>
          <w:szCs w:val="44"/>
        </w:rPr>
      </w:pPr>
    </w:p>
    <w:p w:rsidR="00C17F88" w:rsidRDefault="00C17F88">
      <w:pPr>
        <w:jc w:val="center"/>
        <w:rPr>
          <w:rFonts w:ascii="Arial" w:eastAsia="方正小标宋简体" w:hAnsi="Arial" w:cs="Arial"/>
          <w:sz w:val="44"/>
          <w:szCs w:val="44"/>
        </w:rPr>
      </w:pPr>
    </w:p>
    <w:p w:rsidR="00C17F88" w:rsidRDefault="00C17F88">
      <w:pPr>
        <w:jc w:val="center"/>
        <w:rPr>
          <w:rFonts w:ascii="Arial" w:eastAsia="方正小标宋简体" w:hAnsi="Arial" w:cs="Arial"/>
          <w:sz w:val="44"/>
          <w:szCs w:val="44"/>
        </w:rPr>
      </w:pPr>
    </w:p>
    <w:p w:rsidR="00C17F88" w:rsidRDefault="00C17F88">
      <w:pPr>
        <w:jc w:val="center"/>
        <w:rPr>
          <w:rFonts w:ascii="Arial" w:eastAsia="方正小标宋简体" w:hAnsi="Arial" w:cs="Arial"/>
          <w:sz w:val="44"/>
          <w:szCs w:val="44"/>
        </w:rPr>
      </w:pPr>
    </w:p>
    <w:p w:rsidR="00C17F88" w:rsidRDefault="00C17F88">
      <w:pPr>
        <w:jc w:val="center"/>
        <w:rPr>
          <w:rFonts w:ascii="Arial" w:eastAsia="方正小标宋简体" w:hAnsi="Arial" w:cs="Arial"/>
          <w:sz w:val="44"/>
          <w:szCs w:val="44"/>
        </w:rPr>
      </w:pPr>
    </w:p>
    <w:p w:rsidR="00C17F88" w:rsidRDefault="00C17F88">
      <w:pPr>
        <w:jc w:val="center"/>
        <w:rPr>
          <w:rFonts w:ascii="Arial" w:eastAsia="方正小标宋简体" w:hAnsi="Arial" w:cs="Arial"/>
          <w:sz w:val="44"/>
          <w:szCs w:val="44"/>
        </w:rPr>
      </w:pPr>
    </w:p>
    <w:p w:rsidR="00C17F88" w:rsidRDefault="00C17F88">
      <w:pPr>
        <w:jc w:val="center"/>
        <w:rPr>
          <w:rFonts w:ascii="Arial" w:eastAsia="方正小标宋简体" w:hAnsi="Arial" w:cs="Arial"/>
          <w:sz w:val="44"/>
          <w:szCs w:val="44"/>
        </w:rPr>
      </w:pPr>
    </w:p>
    <w:p w:rsidR="00C17F88" w:rsidRDefault="00C17F88">
      <w:pPr>
        <w:jc w:val="center"/>
        <w:rPr>
          <w:rFonts w:ascii="Arial" w:eastAsia="方正小标宋简体" w:hAnsi="Arial" w:cs="Arial"/>
          <w:sz w:val="44"/>
          <w:szCs w:val="44"/>
        </w:rPr>
      </w:pPr>
    </w:p>
    <w:p w:rsidR="00C17F88" w:rsidRDefault="00D87A9E">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2020年9月29日</w:t>
      </w:r>
    </w:p>
    <w:p w:rsidR="00C17F88" w:rsidRDefault="00C17F88">
      <w:pPr>
        <w:jc w:val="center"/>
        <w:rPr>
          <w:rFonts w:ascii="Arial" w:eastAsia="方正小标宋简体" w:hAnsi="Arial" w:cs="Arial"/>
          <w:sz w:val="44"/>
          <w:szCs w:val="44"/>
        </w:rPr>
      </w:pPr>
    </w:p>
    <w:p w:rsidR="00C17F88" w:rsidRDefault="00C17F88">
      <w:pPr>
        <w:jc w:val="center"/>
        <w:rPr>
          <w:rFonts w:ascii="Arial" w:eastAsia="方正小标宋简体" w:hAnsi="Arial" w:cs="Arial"/>
          <w:sz w:val="44"/>
          <w:szCs w:val="44"/>
        </w:rPr>
      </w:pPr>
    </w:p>
    <w:p w:rsidR="00C17F88" w:rsidRDefault="00C17F88">
      <w:pPr>
        <w:jc w:val="center"/>
        <w:rPr>
          <w:rFonts w:ascii="Arial" w:eastAsia="方正小标宋简体" w:hAnsi="Arial" w:cs="Arial"/>
          <w:sz w:val="44"/>
          <w:szCs w:val="44"/>
        </w:rPr>
      </w:pPr>
    </w:p>
    <w:p w:rsidR="00C17F88" w:rsidRDefault="00C17F88">
      <w:pPr>
        <w:jc w:val="center"/>
        <w:rPr>
          <w:rFonts w:ascii="Arial" w:eastAsia="方正小标宋简体" w:hAnsi="Arial" w:cs="Arial"/>
          <w:sz w:val="44"/>
          <w:szCs w:val="44"/>
        </w:rPr>
      </w:pPr>
    </w:p>
    <w:p w:rsidR="00C17F88" w:rsidRDefault="00C17F88">
      <w:pPr>
        <w:spacing w:line="520" w:lineRule="exact"/>
        <w:jc w:val="center"/>
        <w:rPr>
          <w:rFonts w:ascii="方正小标宋简体" w:eastAsia="方正小标宋简体" w:hAnsi="方正小标宋简体"/>
          <w:sz w:val="44"/>
        </w:rPr>
      </w:pPr>
    </w:p>
    <w:p w:rsidR="00C17F88" w:rsidRDefault="00C17F88">
      <w:pPr>
        <w:spacing w:line="520" w:lineRule="exact"/>
        <w:jc w:val="center"/>
        <w:rPr>
          <w:rFonts w:ascii="方正小标宋简体" w:eastAsia="方正小标宋简体" w:hAnsi="方正小标宋简体"/>
          <w:sz w:val="44"/>
        </w:rPr>
      </w:pPr>
    </w:p>
    <w:p w:rsidR="00C17F88" w:rsidRDefault="00C17F88">
      <w:pPr>
        <w:spacing w:line="520" w:lineRule="exact"/>
        <w:jc w:val="center"/>
        <w:rPr>
          <w:rFonts w:ascii="方正小标宋简体" w:eastAsia="方正小标宋简体" w:hAnsi="方正小标宋简体"/>
          <w:sz w:val="44"/>
        </w:rPr>
      </w:pPr>
    </w:p>
    <w:p w:rsidR="00C17F88" w:rsidRDefault="00C17F88">
      <w:pPr>
        <w:spacing w:line="520" w:lineRule="exact"/>
        <w:jc w:val="center"/>
        <w:rPr>
          <w:rFonts w:ascii="方正小标宋简体" w:eastAsia="方正小标宋简体" w:hAnsi="方正小标宋简体"/>
          <w:sz w:val="44"/>
        </w:rPr>
      </w:pPr>
    </w:p>
    <w:p w:rsidR="00C17F88" w:rsidRDefault="00C17F88">
      <w:pPr>
        <w:spacing w:line="520" w:lineRule="exact"/>
        <w:jc w:val="center"/>
        <w:rPr>
          <w:rFonts w:ascii="方正小标宋简体" w:eastAsia="方正小标宋简体" w:hAnsi="方正小标宋简体"/>
          <w:sz w:val="44"/>
        </w:rPr>
      </w:pPr>
    </w:p>
    <w:p w:rsidR="00C17F88" w:rsidRDefault="00C17F88">
      <w:pPr>
        <w:spacing w:line="520" w:lineRule="exact"/>
        <w:jc w:val="center"/>
        <w:rPr>
          <w:rFonts w:ascii="方正小标宋简体" w:eastAsia="方正小标宋简体" w:hAnsi="方正小标宋简体"/>
          <w:sz w:val="44"/>
        </w:rPr>
      </w:pPr>
    </w:p>
    <w:p w:rsidR="00C17F88" w:rsidRDefault="00D87A9E">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C17F88" w:rsidRDefault="00D87A9E">
      <w:pPr>
        <w:spacing w:line="560" w:lineRule="exact"/>
        <w:rPr>
          <w:rFonts w:ascii="黑体" w:eastAsia="黑体" w:hAnsi="黑体"/>
          <w:sz w:val="32"/>
          <w:szCs w:val="32"/>
        </w:rPr>
      </w:pPr>
      <w:r>
        <w:rPr>
          <w:rFonts w:ascii="黑体" w:eastAsia="黑体" w:hAnsi="黑体" w:hint="eastAsia"/>
          <w:sz w:val="32"/>
          <w:szCs w:val="32"/>
        </w:rPr>
        <w:t>第一部分  部门概况</w:t>
      </w:r>
    </w:p>
    <w:p w:rsidR="00C17F88" w:rsidRDefault="00D87A9E">
      <w:pPr>
        <w:spacing w:line="560" w:lineRule="exact"/>
        <w:rPr>
          <w:rFonts w:ascii="仿宋" w:eastAsia="仿宋" w:hAnsi="仿宋"/>
          <w:sz w:val="32"/>
          <w:szCs w:val="32"/>
        </w:rPr>
      </w:pPr>
      <w:r>
        <w:rPr>
          <w:rFonts w:ascii="仿宋" w:eastAsia="仿宋" w:hAnsi="仿宋" w:hint="eastAsia"/>
          <w:sz w:val="32"/>
          <w:szCs w:val="32"/>
        </w:rPr>
        <w:t>一、部门职能</w:t>
      </w:r>
    </w:p>
    <w:p w:rsidR="00C17F88" w:rsidRDefault="00D87A9E">
      <w:pPr>
        <w:spacing w:line="560" w:lineRule="exact"/>
        <w:rPr>
          <w:rFonts w:ascii="仿宋" w:eastAsia="仿宋" w:hAnsi="仿宋"/>
          <w:sz w:val="32"/>
          <w:szCs w:val="32"/>
        </w:rPr>
      </w:pPr>
      <w:r>
        <w:rPr>
          <w:rFonts w:ascii="仿宋" w:eastAsia="仿宋" w:hAnsi="仿宋" w:hint="eastAsia"/>
          <w:sz w:val="32"/>
          <w:szCs w:val="32"/>
        </w:rPr>
        <w:t>二、机构设置及部门决算单位构成</w:t>
      </w:r>
    </w:p>
    <w:p w:rsidR="00C17F88" w:rsidRDefault="00D87A9E">
      <w:pPr>
        <w:spacing w:line="560" w:lineRule="exact"/>
        <w:rPr>
          <w:rFonts w:ascii="黑体" w:eastAsia="黑体" w:hAnsi="黑体"/>
          <w:sz w:val="32"/>
          <w:szCs w:val="32"/>
        </w:rPr>
      </w:pPr>
      <w:r>
        <w:rPr>
          <w:rFonts w:ascii="黑体" w:eastAsia="黑体" w:hAnsi="黑体" w:hint="eastAsia"/>
          <w:sz w:val="32"/>
          <w:szCs w:val="32"/>
        </w:rPr>
        <w:t>第二部分 2019年度部门决算表</w:t>
      </w:r>
    </w:p>
    <w:p w:rsidR="00C17F88" w:rsidRDefault="00D87A9E">
      <w:pPr>
        <w:spacing w:line="560" w:lineRule="exact"/>
        <w:rPr>
          <w:rFonts w:ascii="仿宋" w:eastAsia="仿宋" w:hAnsi="仿宋"/>
          <w:sz w:val="32"/>
          <w:szCs w:val="32"/>
        </w:rPr>
      </w:pPr>
      <w:r>
        <w:rPr>
          <w:rFonts w:ascii="仿宋" w:eastAsia="仿宋" w:hAnsi="仿宋" w:hint="eastAsia"/>
          <w:sz w:val="32"/>
          <w:szCs w:val="32"/>
        </w:rPr>
        <w:t>一、收入支出决算总表</w:t>
      </w:r>
    </w:p>
    <w:p w:rsidR="00C17F88" w:rsidRDefault="00D87A9E">
      <w:pPr>
        <w:spacing w:line="560" w:lineRule="exact"/>
        <w:rPr>
          <w:rFonts w:ascii="仿宋" w:eastAsia="仿宋" w:hAnsi="仿宋"/>
          <w:sz w:val="32"/>
          <w:szCs w:val="32"/>
        </w:rPr>
      </w:pPr>
      <w:r>
        <w:rPr>
          <w:rFonts w:ascii="仿宋" w:eastAsia="仿宋" w:hAnsi="仿宋" w:hint="eastAsia"/>
          <w:sz w:val="32"/>
          <w:szCs w:val="32"/>
        </w:rPr>
        <w:t>二、收入决算表</w:t>
      </w:r>
    </w:p>
    <w:p w:rsidR="00C17F88" w:rsidRDefault="00D87A9E">
      <w:pPr>
        <w:spacing w:line="560" w:lineRule="exact"/>
        <w:rPr>
          <w:rFonts w:ascii="仿宋" w:eastAsia="仿宋" w:hAnsi="仿宋"/>
          <w:sz w:val="32"/>
          <w:szCs w:val="32"/>
        </w:rPr>
      </w:pPr>
      <w:r>
        <w:rPr>
          <w:rFonts w:ascii="仿宋" w:eastAsia="仿宋" w:hAnsi="仿宋" w:hint="eastAsia"/>
          <w:sz w:val="32"/>
          <w:szCs w:val="32"/>
        </w:rPr>
        <w:t>三、支出决算表</w:t>
      </w:r>
    </w:p>
    <w:p w:rsidR="00C17F88" w:rsidRDefault="00D87A9E">
      <w:pPr>
        <w:spacing w:line="560" w:lineRule="exact"/>
        <w:rPr>
          <w:rFonts w:ascii="仿宋" w:eastAsia="仿宋" w:hAnsi="仿宋"/>
          <w:sz w:val="32"/>
          <w:szCs w:val="32"/>
        </w:rPr>
      </w:pPr>
      <w:r>
        <w:rPr>
          <w:rFonts w:ascii="仿宋" w:eastAsia="仿宋" w:hAnsi="仿宋" w:hint="eastAsia"/>
          <w:sz w:val="32"/>
          <w:szCs w:val="32"/>
        </w:rPr>
        <w:t>四、财政拨款收入支出决算总表</w:t>
      </w:r>
    </w:p>
    <w:p w:rsidR="00C17F88" w:rsidRDefault="00D87A9E">
      <w:pPr>
        <w:spacing w:line="560" w:lineRule="exact"/>
        <w:rPr>
          <w:rFonts w:ascii="仿宋" w:eastAsia="仿宋" w:hAnsi="仿宋"/>
          <w:sz w:val="32"/>
          <w:szCs w:val="32"/>
        </w:rPr>
      </w:pPr>
      <w:r>
        <w:rPr>
          <w:rFonts w:ascii="仿宋" w:eastAsia="仿宋" w:hAnsi="仿宋" w:hint="eastAsia"/>
          <w:sz w:val="32"/>
          <w:szCs w:val="32"/>
        </w:rPr>
        <w:t>五、一般公共预算财政拨款支出决算表</w:t>
      </w:r>
    </w:p>
    <w:p w:rsidR="00C17F88" w:rsidRDefault="00D87A9E">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六、一般公共预算财政拨款基本支出决算表</w:t>
      </w:r>
    </w:p>
    <w:p w:rsidR="00C17F88" w:rsidRDefault="00D87A9E">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七、一般公共预算财政拨款“三公”经费支出决算表</w:t>
      </w:r>
    </w:p>
    <w:p w:rsidR="00C17F88" w:rsidRDefault="00D87A9E">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八、政府性基金预算财政拨款收入支出决算表</w:t>
      </w:r>
    </w:p>
    <w:p w:rsidR="00C17F88" w:rsidRDefault="00D87A9E">
      <w:pPr>
        <w:spacing w:line="560" w:lineRule="exact"/>
        <w:rPr>
          <w:rFonts w:ascii="黑体" w:eastAsia="黑体" w:hAnsi="黑体"/>
          <w:sz w:val="32"/>
          <w:szCs w:val="32"/>
        </w:rPr>
      </w:pPr>
      <w:r>
        <w:rPr>
          <w:rFonts w:ascii="黑体" w:eastAsia="黑体" w:hAnsi="黑体" w:hint="eastAsia"/>
          <w:sz w:val="32"/>
          <w:szCs w:val="32"/>
        </w:rPr>
        <w:t>第三部分  2019年度部门决算情况说明</w:t>
      </w:r>
    </w:p>
    <w:p w:rsidR="00C17F88" w:rsidRDefault="00D87A9E">
      <w:pPr>
        <w:spacing w:line="560" w:lineRule="exact"/>
        <w:rPr>
          <w:rFonts w:ascii="仿宋" w:eastAsia="仿宋" w:hAnsi="仿宋"/>
          <w:sz w:val="32"/>
          <w:szCs w:val="32"/>
        </w:rPr>
      </w:pPr>
      <w:r>
        <w:rPr>
          <w:rFonts w:ascii="仿宋" w:eastAsia="仿宋" w:hAnsi="仿宋" w:hint="eastAsia"/>
          <w:sz w:val="32"/>
          <w:szCs w:val="32"/>
        </w:rPr>
        <w:t>一、收入支出决算总体情况说明</w:t>
      </w:r>
    </w:p>
    <w:p w:rsidR="00C17F88" w:rsidRDefault="00D87A9E">
      <w:pPr>
        <w:spacing w:line="560" w:lineRule="exact"/>
        <w:rPr>
          <w:rFonts w:ascii="仿宋" w:eastAsia="仿宋" w:hAnsi="仿宋"/>
          <w:sz w:val="32"/>
          <w:szCs w:val="32"/>
        </w:rPr>
      </w:pPr>
      <w:r>
        <w:rPr>
          <w:rFonts w:ascii="仿宋" w:eastAsia="仿宋" w:hAnsi="仿宋" w:hint="eastAsia"/>
          <w:sz w:val="32"/>
          <w:szCs w:val="32"/>
        </w:rPr>
        <w:t>二、收入决算情况说明</w:t>
      </w:r>
    </w:p>
    <w:p w:rsidR="00C17F88" w:rsidRDefault="00D87A9E">
      <w:pPr>
        <w:spacing w:line="560" w:lineRule="exact"/>
        <w:rPr>
          <w:rFonts w:ascii="仿宋" w:eastAsia="仿宋" w:hAnsi="仿宋"/>
          <w:sz w:val="32"/>
          <w:szCs w:val="32"/>
        </w:rPr>
      </w:pPr>
      <w:r>
        <w:rPr>
          <w:rFonts w:ascii="仿宋" w:eastAsia="仿宋" w:hAnsi="仿宋" w:hint="eastAsia"/>
          <w:sz w:val="32"/>
          <w:szCs w:val="32"/>
        </w:rPr>
        <w:t>三、支出决算情况说明</w:t>
      </w:r>
    </w:p>
    <w:p w:rsidR="00C17F88" w:rsidRDefault="00D87A9E">
      <w:pPr>
        <w:spacing w:line="560" w:lineRule="exact"/>
        <w:rPr>
          <w:rFonts w:ascii="仿宋" w:eastAsia="仿宋" w:hAnsi="仿宋"/>
          <w:sz w:val="32"/>
          <w:szCs w:val="32"/>
        </w:rPr>
      </w:pPr>
      <w:r>
        <w:rPr>
          <w:rFonts w:ascii="仿宋" w:eastAsia="仿宋" w:hAnsi="仿宋" w:hint="eastAsia"/>
          <w:sz w:val="32"/>
          <w:szCs w:val="32"/>
        </w:rPr>
        <w:t>四、财政拨款收入支出决算总体情况说明</w:t>
      </w:r>
    </w:p>
    <w:p w:rsidR="00C17F88" w:rsidRDefault="00D87A9E">
      <w:pPr>
        <w:spacing w:line="560" w:lineRule="exact"/>
        <w:rPr>
          <w:rFonts w:ascii="仿宋" w:eastAsia="仿宋" w:hAnsi="仿宋"/>
          <w:sz w:val="32"/>
          <w:szCs w:val="32"/>
        </w:rPr>
      </w:pPr>
      <w:r>
        <w:rPr>
          <w:rFonts w:ascii="仿宋" w:eastAsia="仿宋" w:hAnsi="仿宋" w:hint="eastAsia"/>
          <w:sz w:val="32"/>
          <w:szCs w:val="32"/>
        </w:rPr>
        <w:t>五、一般公共预算财政拨款支出决算情况说明</w:t>
      </w:r>
    </w:p>
    <w:p w:rsidR="00C17F88" w:rsidRDefault="00D87A9E">
      <w:pPr>
        <w:spacing w:line="560" w:lineRule="exact"/>
        <w:rPr>
          <w:rFonts w:ascii="仿宋" w:eastAsia="仿宋" w:hAnsi="仿宋"/>
          <w:sz w:val="32"/>
          <w:szCs w:val="32"/>
        </w:rPr>
      </w:pPr>
      <w:r>
        <w:rPr>
          <w:rFonts w:ascii="仿宋" w:eastAsia="仿宋" w:hAnsi="仿宋" w:hint="eastAsia"/>
          <w:sz w:val="32"/>
          <w:szCs w:val="32"/>
        </w:rPr>
        <w:t>六、一般公共预算财政拨款基本支出决算情况说明</w:t>
      </w:r>
    </w:p>
    <w:p w:rsidR="00C17F88" w:rsidRDefault="00D87A9E">
      <w:pPr>
        <w:spacing w:line="560" w:lineRule="exact"/>
        <w:rPr>
          <w:rFonts w:ascii="仿宋" w:eastAsia="仿宋" w:hAnsi="仿宋"/>
          <w:sz w:val="32"/>
          <w:szCs w:val="32"/>
        </w:rPr>
      </w:pPr>
      <w:r>
        <w:rPr>
          <w:rFonts w:ascii="仿宋" w:eastAsia="仿宋" w:hAnsi="仿宋" w:hint="eastAsia"/>
          <w:sz w:val="32"/>
          <w:szCs w:val="32"/>
        </w:rPr>
        <w:t>七、一般公共预算财政拨款“三公”经费支出决算情况说明</w:t>
      </w:r>
    </w:p>
    <w:p w:rsidR="00C17F88" w:rsidRDefault="00D87A9E">
      <w:pPr>
        <w:spacing w:line="560" w:lineRule="exact"/>
        <w:rPr>
          <w:rFonts w:ascii="仿宋" w:eastAsia="仿宋" w:hAnsi="仿宋"/>
          <w:sz w:val="32"/>
          <w:szCs w:val="32"/>
        </w:rPr>
      </w:pPr>
      <w:r>
        <w:rPr>
          <w:rFonts w:ascii="仿宋" w:eastAsia="仿宋" w:hAnsi="仿宋" w:hint="eastAsia"/>
          <w:sz w:val="32"/>
          <w:szCs w:val="32"/>
        </w:rPr>
        <w:t>八、政府性基金预算财政拨款收入支出决算情况说明</w:t>
      </w:r>
    </w:p>
    <w:p w:rsidR="00C17F88" w:rsidRDefault="00D87A9E">
      <w:pPr>
        <w:spacing w:line="560" w:lineRule="exact"/>
        <w:rPr>
          <w:rFonts w:ascii="仿宋" w:eastAsia="仿宋" w:hAnsi="仿宋"/>
          <w:sz w:val="32"/>
          <w:szCs w:val="32"/>
        </w:rPr>
      </w:pPr>
      <w:r>
        <w:rPr>
          <w:rFonts w:ascii="仿宋" w:eastAsia="仿宋" w:hAnsi="仿宋" w:hint="eastAsia"/>
          <w:sz w:val="32"/>
          <w:szCs w:val="32"/>
        </w:rPr>
        <w:t>九、其他重要事项情况说明</w:t>
      </w:r>
    </w:p>
    <w:p w:rsidR="00C17F88" w:rsidRDefault="00D87A9E">
      <w:pPr>
        <w:spacing w:line="560" w:lineRule="exact"/>
        <w:rPr>
          <w:rFonts w:ascii="黑体" w:eastAsia="黑体" w:hAnsi="黑体"/>
          <w:sz w:val="32"/>
          <w:szCs w:val="32"/>
        </w:rPr>
      </w:pPr>
      <w:r>
        <w:rPr>
          <w:rFonts w:ascii="黑体" w:eastAsia="黑体" w:hAnsi="黑体" w:hint="eastAsia"/>
          <w:sz w:val="32"/>
          <w:szCs w:val="32"/>
        </w:rPr>
        <w:t>第四部分  名词解释</w:t>
      </w:r>
    </w:p>
    <w:p w:rsidR="00C17F88" w:rsidRDefault="00D87A9E">
      <w:pPr>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第一部分  部门概况</w:t>
      </w:r>
    </w:p>
    <w:p w:rsidR="00C17F88" w:rsidRDefault="00C17F88">
      <w:pPr>
        <w:jc w:val="center"/>
        <w:rPr>
          <w:rFonts w:ascii="黑体" w:eastAsia="黑体" w:hAnsi="黑体"/>
          <w:sz w:val="32"/>
        </w:rPr>
      </w:pPr>
    </w:p>
    <w:p w:rsidR="00C17F88" w:rsidRDefault="00D87A9E">
      <w:pPr>
        <w:rPr>
          <w:rFonts w:ascii="黑体" w:eastAsia="黑体" w:hAnsi="黑体"/>
          <w:sz w:val="32"/>
        </w:rPr>
      </w:pPr>
      <w:r>
        <w:rPr>
          <w:rFonts w:ascii="黑体" w:eastAsia="黑体" w:hAnsi="黑体" w:hint="eastAsia"/>
          <w:sz w:val="32"/>
        </w:rPr>
        <w:t xml:space="preserve">    一、部门职能</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长春市双阳区教育局，隶属于长春市双阳区人民政府，其主要工作职能如下：</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（一）贯彻国家和省、市的教育方针、政策、法律、法规和规章制度并监督执行。</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（二）组织制定全区教育事业发展规划，指导教育规划、计划的实施。</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三）综合管理全区基础教育、职业教育、特殊教育、民族教育、幼儿教育、成人教育及社会力量办学等工作；统筹规划、部署、指导教育体制和办学体制改革；协调指导各乡镇街道及有关部门的教育工作；宣传贯彻国家语言文字工作的方针、政策，并组织实施。</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（四）负责推进义务教育均衡发展和促进教育公平，加强农村义务教育；统筹规划、指导全区教师和教育行政干部队伍培训和管理工作。加强中小学教师队伍建设，负责实施教师资格制度。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（五）负责全区职业与成人教育的规划和管理工作，指导职业教育的发展与改革。规划实施全区扫除青壮年文盲和有关学籍管理工作。</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（六）拟订全区教育督导的相关制度和督导指标体系，指导全区的教育督导工作，组织开展全区基础教育发展水平和质量监测，保证国家有关教育方针、政策、法律、法规的贯彻执行和教育目标的实现。</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lastRenderedPageBreak/>
        <w:t>（七）负责本部门教育经费的统筹管理和教育基本建设工作，编制全区教育经费年度预算和决算，组织制定全区教育收费项目、标准，负责学校收费管理，负责统计全区教育经费投入情况，统筹管理各项教育贷款及其他教育援助。</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八）指导全区各级各类学校的党建工作、思想政治工作、德育工作、教学工作、体育卫生与美育工作、信息技术、国防教育和社会实践等工作，全面推进素质教育。协调并指导全区各级各类学校的安全文明校园建设工作、社会治安综合治理工作、突发事件应急处理和信访等工作。</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（九）贯彻执行国家、省、市有关学校招生的方针、政策；组织制定全区各级各类学校的招生计划；负责自觉考试的组织和管理工作。</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（十）负责全区民办教育的统筹规划、综合协调和宏观管理，制定民办学校宏观管理的政策措施，规范办学行为。</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（十一）按照干部管理权限和程序，考核任免学校领导干部。</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（十二）负责主管行业领域的安全生产管理。</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（十三）承办区政府交办的其他事项。</w:t>
      </w:r>
    </w:p>
    <w:p w:rsidR="00C17F88" w:rsidRPr="00FC6C46" w:rsidRDefault="00C17F88">
      <w:pPr>
        <w:ind w:firstLineChars="200" w:firstLine="640"/>
        <w:rPr>
          <w:rFonts w:ascii="仿宋" w:eastAsia="仿宋" w:hAnsi="仿宋"/>
          <w:sz w:val="32"/>
          <w:szCs w:val="32"/>
        </w:rPr>
      </w:pPr>
    </w:p>
    <w:p w:rsidR="00C17F88" w:rsidRPr="00FC6C46" w:rsidRDefault="00D87A9E">
      <w:pPr>
        <w:numPr>
          <w:ilvl w:val="0"/>
          <w:numId w:val="1"/>
        </w:numPr>
        <w:ind w:firstLineChars="200" w:firstLine="640"/>
        <w:rPr>
          <w:rFonts w:ascii="黑体" w:eastAsia="黑体" w:hAnsi="黑体"/>
          <w:sz w:val="32"/>
          <w:szCs w:val="32"/>
        </w:rPr>
      </w:pPr>
      <w:r w:rsidRPr="00FC6C46">
        <w:rPr>
          <w:rFonts w:ascii="黑体" w:eastAsia="黑体" w:hAnsi="黑体" w:hint="eastAsia"/>
          <w:sz w:val="32"/>
          <w:szCs w:val="32"/>
        </w:rPr>
        <w:t>机构设置及部门决算单位构成</w:t>
      </w:r>
    </w:p>
    <w:p w:rsidR="00C17F88" w:rsidRPr="00FC6C46" w:rsidRDefault="00D87A9E" w:rsidP="00D87A9E">
      <w:pPr>
        <w:pStyle w:val="a5"/>
        <w:shd w:val="clear" w:color="auto" w:fill="FFFFFF"/>
        <w:spacing w:before="0" w:beforeAutospacing="0" w:after="0" w:afterAutospacing="0" w:line="560" w:lineRule="exact"/>
        <w:ind w:firstLineChars="200" w:firstLine="640"/>
        <w:rPr>
          <w:rFonts w:ascii="仿宋" w:eastAsia="仿宋" w:hAnsi="仿宋" w:cs="Times New Roman"/>
          <w:kern w:val="2"/>
          <w:sz w:val="32"/>
          <w:szCs w:val="32"/>
        </w:rPr>
      </w:pPr>
      <w:r w:rsidRPr="00FC6C46">
        <w:rPr>
          <w:rFonts w:ascii="仿宋" w:eastAsia="仿宋" w:hAnsi="仿宋" w:cs="Times New Roman" w:hint="eastAsia"/>
          <w:kern w:val="2"/>
          <w:sz w:val="32"/>
          <w:szCs w:val="32"/>
        </w:rPr>
        <w:t>1.机构设置及部门决算构成单位</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根据上述职责，区教育局机关内设5个机构，分别为：秘书科、人事科、计划财务审计科、基础教育科、职业成人教育科（行政审批办公室）。</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纳入长春市双阳区教育系统2019年度部门决算编制范</w:t>
      </w:r>
      <w:r w:rsidRPr="00FC6C46">
        <w:rPr>
          <w:rFonts w:ascii="仿宋" w:eastAsia="仿宋" w:hAnsi="仿宋" w:hint="eastAsia"/>
          <w:sz w:val="32"/>
          <w:szCs w:val="32"/>
        </w:rPr>
        <w:lastRenderedPageBreak/>
        <w:t>围的单位共有46个，具体包括：</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（1） 长春市双阳区教育局（本级）</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（2） 长春市双阳区实验幼儿园</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（3） 长春市双阳区春蕾幼儿园</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（4） 长春市双阳区第一实验小学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（5） 长春市双阳区第二实验小学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（6） 长春市双阳区通阳小学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（7） 长春市双阳区城中小学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（8） 长春市双阳区南岗小学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（9） 长春市双阳区</w:t>
      </w:r>
      <w:proofErr w:type="gramStart"/>
      <w:r w:rsidRPr="00FC6C46">
        <w:rPr>
          <w:rFonts w:ascii="仿宋" w:eastAsia="仿宋" w:hAnsi="仿宋" w:hint="eastAsia"/>
          <w:sz w:val="32"/>
          <w:szCs w:val="32"/>
        </w:rPr>
        <w:t>奢</w:t>
      </w:r>
      <w:proofErr w:type="gramEnd"/>
      <w:r w:rsidRPr="00FC6C46">
        <w:rPr>
          <w:rFonts w:ascii="仿宋" w:eastAsia="仿宋" w:hAnsi="仿宋" w:hint="eastAsia"/>
          <w:sz w:val="32"/>
          <w:szCs w:val="32"/>
        </w:rPr>
        <w:t>岭中心小学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（10）长春市双阳区新安中心小学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（11）长春市双阳区山河中心小学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（12）长春市双阳区佟家中心小学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（13）长春市双阳区齐家镇中心小学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（14）长春市双阳区齐家镇长岭中心小学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（15）长春市双阳区太平镇中心小学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（16）长春市双阳区太平镇土顶中心小学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（17）长春市</w:t>
      </w:r>
      <w:proofErr w:type="gramStart"/>
      <w:r w:rsidRPr="00FC6C46">
        <w:rPr>
          <w:rFonts w:ascii="仿宋" w:eastAsia="仿宋" w:hAnsi="仿宋" w:hint="eastAsia"/>
          <w:sz w:val="32"/>
          <w:szCs w:val="32"/>
        </w:rPr>
        <w:t>双阳区鹿乡镇</w:t>
      </w:r>
      <w:proofErr w:type="gramEnd"/>
      <w:r w:rsidRPr="00FC6C46">
        <w:rPr>
          <w:rFonts w:ascii="仿宋" w:eastAsia="仿宋" w:hAnsi="仿宋" w:hint="eastAsia"/>
          <w:sz w:val="32"/>
          <w:szCs w:val="32"/>
        </w:rPr>
        <w:t>中心小学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（18）长春市</w:t>
      </w:r>
      <w:proofErr w:type="gramStart"/>
      <w:r w:rsidRPr="00FC6C46">
        <w:rPr>
          <w:rFonts w:ascii="仿宋" w:eastAsia="仿宋" w:hAnsi="仿宋" w:hint="eastAsia"/>
          <w:sz w:val="32"/>
          <w:szCs w:val="32"/>
        </w:rPr>
        <w:t>双阳区鹿乡镇</w:t>
      </w:r>
      <w:proofErr w:type="gramEnd"/>
      <w:r w:rsidRPr="00FC6C46">
        <w:rPr>
          <w:rFonts w:ascii="仿宋" w:eastAsia="仿宋" w:hAnsi="仿宋" w:hint="eastAsia"/>
          <w:sz w:val="32"/>
          <w:szCs w:val="32"/>
        </w:rPr>
        <w:t>石溪中心小学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（19）长春市双阳</w:t>
      </w:r>
      <w:proofErr w:type="gramStart"/>
      <w:r w:rsidRPr="00FC6C46">
        <w:rPr>
          <w:rFonts w:ascii="仿宋" w:eastAsia="仿宋" w:hAnsi="仿宋" w:hint="eastAsia"/>
          <w:sz w:val="32"/>
          <w:szCs w:val="32"/>
        </w:rPr>
        <w:t>区双营子</w:t>
      </w:r>
      <w:proofErr w:type="gramEnd"/>
      <w:r w:rsidRPr="00FC6C46">
        <w:rPr>
          <w:rFonts w:ascii="仿宋" w:eastAsia="仿宋" w:hAnsi="仿宋" w:hint="eastAsia"/>
          <w:sz w:val="32"/>
          <w:szCs w:val="32"/>
        </w:rPr>
        <w:t>回族乡中心小学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（20）长春市第一五二中学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（21）长春市第一五三中学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（22）长春市第一五四中学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（23）长春市第一五五中学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lastRenderedPageBreak/>
        <w:t>（24）长春市第一五六中学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（25）长春市第一五七中学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（26）长春市第一五八中学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（27）长春市第一五九中学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（28）长春市第一六○中学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（29）长春市第一六一中学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（30）长春市第一六二中学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（31）长春市第一六三中学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（32）长春市第一六四中学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（33）长春市第一七○中学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（34）长春市回族中学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（35）长春市</w:t>
      </w:r>
      <w:proofErr w:type="gramStart"/>
      <w:r w:rsidRPr="00FC6C46">
        <w:rPr>
          <w:rFonts w:ascii="仿宋" w:eastAsia="仿宋" w:hAnsi="仿宋" w:hint="eastAsia"/>
          <w:sz w:val="32"/>
          <w:szCs w:val="32"/>
        </w:rPr>
        <w:t>晨宇希望</w:t>
      </w:r>
      <w:proofErr w:type="gramEnd"/>
      <w:r w:rsidRPr="00FC6C46">
        <w:rPr>
          <w:rFonts w:ascii="仿宋" w:eastAsia="仿宋" w:hAnsi="仿宋" w:hint="eastAsia"/>
          <w:sz w:val="32"/>
          <w:szCs w:val="32"/>
        </w:rPr>
        <w:t>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（36）长春市第二朝鲜族中学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（37）长春市双阳区滨河实验学校</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（38）长春市第一五○中学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（39）长春市第一五一中学</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（40）长春市双阳职业教育中心</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（41）长春市双阳区特殊教育学校</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（42）长春市双阳区教师进修学校</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（43）长春市双阳区教育局基建项目管理中心</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（44）长春市双阳区招生考试服务中心</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（45）长春市双阳区学校后勤管理中心</w:t>
      </w:r>
    </w:p>
    <w:p w:rsidR="00C17F88" w:rsidRPr="00FC6C46" w:rsidRDefault="00D87A9E" w:rsidP="00D87A9E">
      <w:pPr>
        <w:spacing w:line="560" w:lineRule="exact"/>
        <w:ind w:firstLineChars="200" w:firstLine="640"/>
        <w:rPr>
          <w:rFonts w:ascii="仿宋" w:eastAsia="仿宋" w:hAnsi="仿宋"/>
          <w:sz w:val="32"/>
          <w:szCs w:val="32"/>
        </w:rPr>
      </w:pPr>
      <w:r w:rsidRPr="00FC6C46">
        <w:rPr>
          <w:rFonts w:ascii="仿宋" w:eastAsia="仿宋" w:hAnsi="仿宋" w:hint="eastAsia"/>
          <w:sz w:val="32"/>
          <w:szCs w:val="32"/>
        </w:rPr>
        <w:t>（46）长春市双阳区青少年活动中心</w:t>
      </w:r>
    </w:p>
    <w:p w:rsidR="00C17F88" w:rsidRPr="00FC6C46" w:rsidRDefault="00C17F88" w:rsidP="00D87A9E">
      <w:pPr>
        <w:snapToGrid w:val="0"/>
        <w:spacing w:line="560" w:lineRule="exact"/>
        <w:ind w:firstLineChars="200" w:firstLine="640"/>
        <w:rPr>
          <w:rFonts w:ascii="仿宋" w:eastAsia="仿宋" w:hAnsi="仿宋"/>
          <w:sz w:val="32"/>
          <w:szCs w:val="32"/>
        </w:rPr>
      </w:pPr>
    </w:p>
    <w:p w:rsidR="00C17F88" w:rsidRPr="00FC6C46" w:rsidRDefault="00D87A9E" w:rsidP="00D87A9E">
      <w:pPr>
        <w:snapToGrid w:val="0"/>
        <w:spacing w:line="560" w:lineRule="exact"/>
        <w:ind w:firstLineChars="200" w:firstLine="640"/>
        <w:rPr>
          <w:rFonts w:ascii="仿宋" w:eastAsia="仿宋" w:hAnsi="仿宋" w:cs="仿宋_GB2312"/>
          <w:sz w:val="32"/>
          <w:szCs w:val="32"/>
        </w:rPr>
      </w:pPr>
      <w:r w:rsidRPr="00FC6C46">
        <w:rPr>
          <w:rFonts w:ascii="仿宋" w:eastAsia="仿宋" w:hAnsi="仿宋" w:cs="仿宋_GB2312" w:hint="eastAsia"/>
          <w:sz w:val="32"/>
          <w:szCs w:val="32"/>
        </w:rPr>
        <w:lastRenderedPageBreak/>
        <w:t>2.人员情况</w:t>
      </w:r>
    </w:p>
    <w:p w:rsidR="00C17F88" w:rsidRPr="00FC6C46" w:rsidRDefault="00D87A9E" w:rsidP="00D87A9E">
      <w:pPr>
        <w:spacing w:line="560" w:lineRule="exact"/>
        <w:ind w:firstLineChars="200" w:firstLine="640"/>
        <w:rPr>
          <w:rFonts w:ascii="仿宋" w:eastAsia="仿宋" w:hAnsi="仿宋" w:cs="仿宋_GB2312"/>
          <w:sz w:val="32"/>
          <w:szCs w:val="32"/>
        </w:rPr>
      </w:pPr>
      <w:r w:rsidRPr="00FC6C46">
        <w:rPr>
          <w:rFonts w:ascii="仿宋" w:eastAsia="仿宋" w:hAnsi="仿宋" w:cs="仿宋_GB2312" w:hint="eastAsia"/>
          <w:sz w:val="32"/>
          <w:szCs w:val="32"/>
        </w:rPr>
        <w:t>2019年末实有人员5285人，其中：在职人员5285人，离退休人员0人。</w:t>
      </w:r>
    </w:p>
    <w:p w:rsidR="00C17F88" w:rsidRPr="00D87A9E" w:rsidRDefault="00C17F88">
      <w:pPr>
        <w:pStyle w:val="a5"/>
        <w:shd w:val="clear" w:color="auto" w:fill="FFFFFF"/>
        <w:spacing w:before="0" w:beforeAutospacing="0" w:after="0" w:afterAutospacing="0" w:line="560" w:lineRule="exact"/>
        <w:ind w:firstLineChars="200" w:firstLine="640"/>
        <w:rPr>
          <w:rFonts w:ascii="仿宋" w:eastAsia="仿宋" w:hAnsi="仿宋"/>
          <w:color w:val="FF0000"/>
          <w:sz w:val="32"/>
          <w:szCs w:val="32"/>
        </w:rPr>
        <w:sectPr w:rsidR="00C17F88" w:rsidRPr="00D87A9E" w:rsidSect="00D87A9E">
          <w:footerReference w:type="default" r:id="rId10"/>
          <w:footerReference w:type="first" r:id="rId11"/>
          <w:pgSz w:w="11907" w:h="16839" w:code="9"/>
          <w:pgMar w:top="1440" w:right="1797" w:bottom="1440" w:left="1797" w:header="851" w:footer="992" w:gutter="0"/>
          <w:pgNumType w:fmt="numberInDash" w:start="0"/>
          <w:cols w:space="720"/>
          <w:titlePg/>
          <w:docGrid w:linePitch="312"/>
        </w:sectPr>
      </w:pPr>
    </w:p>
    <w:p w:rsidR="00C17F88" w:rsidRDefault="00D87A9E">
      <w:pPr>
        <w:ind w:firstLineChars="200" w:firstLine="880"/>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第二部分 2019年度部门决算表</w:t>
      </w:r>
    </w:p>
    <w:p w:rsidR="00C17F88" w:rsidRDefault="00D87A9E">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4A0" w:firstRow="1" w:lastRow="0" w:firstColumn="1" w:lastColumn="0" w:noHBand="0" w:noVBand="1"/>
      </w:tblPr>
      <w:tblGrid>
        <w:gridCol w:w="2662"/>
        <w:gridCol w:w="1800"/>
        <w:gridCol w:w="2644"/>
        <w:gridCol w:w="236"/>
        <w:gridCol w:w="1800"/>
      </w:tblGrid>
      <w:tr w:rsidR="00C17F88">
        <w:trPr>
          <w:trHeight w:val="360"/>
        </w:trPr>
        <w:tc>
          <w:tcPr>
            <w:tcW w:w="9142" w:type="dxa"/>
            <w:gridSpan w:val="5"/>
            <w:tcBorders>
              <w:top w:val="nil"/>
              <w:left w:val="nil"/>
              <w:bottom w:val="nil"/>
              <w:right w:val="nil"/>
            </w:tcBorders>
            <w:shd w:val="clear" w:color="auto" w:fill="auto"/>
            <w:noWrap/>
            <w:vAlign w:val="center"/>
          </w:tcPr>
          <w:p w:rsidR="00C17F88" w:rsidRDefault="00D87A9E">
            <w:pPr>
              <w:widowControl/>
              <w:spacing w:line="560" w:lineRule="exact"/>
              <w:jc w:val="center"/>
              <w:rPr>
                <w:rFonts w:ascii="仿宋" w:eastAsia="仿宋" w:hAnsi="仿宋" w:cs="宋体"/>
                <w:b/>
                <w:color w:val="000000"/>
                <w:kern w:val="0"/>
                <w:sz w:val="32"/>
                <w:szCs w:val="32"/>
              </w:rPr>
            </w:pPr>
            <w:bookmarkStart w:id="0" w:name="RANGE!A1:F21"/>
            <w:bookmarkEnd w:id="0"/>
            <w:r>
              <w:rPr>
                <w:rFonts w:ascii="仿宋" w:eastAsia="仿宋" w:hAnsi="仿宋" w:cs="宋体" w:hint="eastAsia"/>
                <w:b/>
                <w:color w:val="000000"/>
                <w:kern w:val="0"/>
                <w:sz w:val="32"/>
                <w:szCs w:val="32"/>
              </w:rPr>
              <w:t>收入支出决算总表</w:t>
            </w:r>
          </w:p>
        </w:tc>
      </w:tr>
      <w:tr w:rsidR="00C17F88">
        <w:trPr>
          <w:trHeight w:val="317"/>
        </w:trPr>
        <w:tc>
          <w:tcPr>
            <w:tcW w:w="2662"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公开01表</w:t>
            </w:r>
          </w:p>
        </w:tc>
      </w:tr>
      <w:tr w:rsidR="00C17F88">
        <w:trPr>
          <w:trHeight w:val="293"/>
        </w:trPr>
        <w:tc>
          <w:tcPr>
            <w:tcW w:w="2662" w:type="dxa"/>
            <w:tcBorders>
              <w:top w:val="nil"/>
              <w:left w:val="nil"/>
              <w:bottom w:val="nil"/>
              <w:right w:val="nil"/>
            </w:tcBorders>
            <w:shd w:val="clear" w:color="auto" w:fill="FFFFFF"/>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C17F88">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决算数</w:t>
            </w: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83,419.10　</w:t>
            </w:r>
          </w:p>
        </w:tc>
        <w:tc>
          <w:tcPr>
            <w:tcW w:w="2880" w:type="dxa"/>
            <w:gridSpan w:val="2"/>
            <w:tcBorders>
              <w:top w:val="nil"/>
              <w:left w:val="nil"/>
              <w:bottom w:val="single" w:sz="4" w:space="0" w:color="auto"/>
              <w:right w:val="single" w:sz="4" w:space="0" w:color="auto"/>
            </w:tcBorders>
            <w:shd w:val="clear" w:color="auto" w:fill="FFFFFF"/>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　</w:t>
            </w: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二、</w:t>
            </w:r>
            <w:r w:rsidRPr="00FC6C46">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　</w:t>
            </w: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1,094.24　</w:t>
            </w:r>
          </w:p>
        </w:tc>
        <w:tc>
          <w:tcPr>
            <w:tcW w:w="2880" w:type="dxa"/>
            <w:gridSpan w:val="2"/>
            <w:tcBorders>
              <w:top w:val="nil"/>
              <w:left w:val="nil"/>
              <w:bottom w:val="single" w:sz="4" w:space="0" w:color="auto"/>
              <w:right w:val="single" w:sz="4" w:space="0" w:color="auto"/>
            </w:tcBorders>
            <w:shd w:val="clear" w:color="auto" w:fill="FFFFFF"/>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三、</w:t>
            </w:r>
            <w:r w:rsidRPr="00FC6C46">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83,607.39　</w:t>
            </w: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四、</w:t>
            </w:r>
            <w:r w:rsidRPr="00FC6C46">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　</w:t>
            </w: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五、</w:t>
            </w:r>
            <w:r w:rsidRPr="00FC6C46">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　</w:t>
            </w: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1,197.16　</w:t>
            </w:r>
          </w:p>
        </w:tc>
        <w:tc>
          <w:tcPr>
            <w:tcW w:w="2880" w:type="dxa"/>
            <w:gridSpan w:val="2"/>
            <w:tcBorders>
              <w:top w:val="nil"/>
              <w:left w:val="nil"/>
              <w:bottom w:val="single" w:sz="4" w:space="0" w:color="auto"/>
              <w:right w:val="single" w:sz="4" w:space="0" w:color="auto"/>
            </w:tcBorders>
            <w:shd w:val="clear" w:color="auto" w:fill="FFFFFF"/>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六、</w:t>
            </w:r>
            <w:r w:rsidRPr="00FC6C46">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　</w:t>
            </w: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七、</w:t>
            </w:r>
            <w:r w:rsidRPr="00FC6C46">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　</w:t>
            </w: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C17F8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八、</w:t>
            </w:r>
            <w:r w:rsidRPr="00FC6C46">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C17F8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九、</w:t>
            </w:r>
            <w:r w:rsidRPr="00FC6C46">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C17F8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十、</w:t>
            </w:r>
            <w:r w:rsidRPr="00FC6C46">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C17F8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十一、</w:t>
            </w:r>
            <w:r w:rsidRPr="00FC6C46">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C17F8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十二、</w:t>
            </w:r>
            <w:r w:rsidRPr="00FC6C46">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C17F8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十三、</w:t>
            </w:r>
            <w:r w:rsidRPr="00FC6C46">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C17F8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十四、</w:t>
            </w:r>
            <w:r w:rsidRPr="00FC6C46">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C17F8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十五、</w:t>
            </w:r>
            <w:r w:rsidRPr="00FC6C46">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C17F8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十六、</w:t>
            </w:r>
            <w:r w:rsidRPr="00FC6C46">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C17F88" w:rsidRPr="00FC6C46" w:rsidRDefault="00C17F88">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C17F88">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十七、</w:t>
            </w:r>
            <w:r w:rsidRPr="00FC6C46">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110.19</w:t>
            </w: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17F88" w:rsidRPr="00FC6C46" w:rsidRDefault="00D87A9E">
            <w:pPr>
              <w:widowControl/>
              <w:jc w:val="center"/>
              <w:rPr>
                <w:rFonts w:ascii="仿宋" w:eastAsia="仿宋" w:hAnsi="仿宋" w:cs="宋体"/>
                <w:b/>
                <w:bCs/>
                <w:kern w:val="0"/>
                <w:sz w:val="22"/>
                <w:szCs w:val="22"/>
              </w:rPr>
            </w:pPr>
            <w:r w:rsidRPr="00FC6C46">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85,710.50　</w:t>
            </w: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center"/>
              <w:rPr>
                <w:rFonts w:ascii="仿宋" w:eastAsia="仿宋" w:hAnsi="仿宋" w:cs="宋体"/>
                <w:b/>
                <w:bCs/>
                <w:kern w:val="0"/>
                <w:sz w:val="22"/>
                <w:szCs w:val="22"/>
              </w:rPr>
            </w:pPr>
            <w:r w:rsidRPr="00FC6C46">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Pr="00FC6C46" w:rsidRDefault="00D87A9E">
            <w:pPr>
              <w:widowControl/>
              <w:jc w:val="right"/>
              <w:rPr>
                <w:rFonts w:ascii="仿宋" w:eastAsia="仿宋" w:hAnsi="仿宋" w:cs="宋体"/>
                <w:b/>
                <w:bCs/>
                <w:kern w:val="0"/>
                <w:sz w:val="22"/>
                <w:szCs w:val="22"/>
              </w:rPr>
            </w:pPr>
            <w:r w:rsidRPr="00FC6C46">
              <w:rPr>
                <w:rFonts w:ascii="仿宋" w:eastAsia="仿宋" w:hAnsi="仿宋" w:cs="宋体" w:hint="eastAsia"/>
                <w:b/>
                <w:bCs/>
                <w:kern w:val="0"/>
                <w:sz w:val="22"/>
                <w:szCs w:val="22"/>
              </w:rPr>
              <w:t xml:space="preserve">83,717.57　</w:t>
            </w:r>
          </w:p>
        </w:tc>
      </w:tr>
      <w:tr w:rsidR="00C17F88">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48.23　</w:t>
            </w: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center"/>
              <w:rPr>
                <w:rFonts w:ascii="仿宋" w:eastAsia="仿宋" w:hAnsi="仿宋" w:cs="宋体"/>
                <w:b/>
                <w:kern w:val="0"/>
                <w:sz w:val="22"/>
                <w:szCs w:val="22"/>
              </w:rPr>
            </w:pPr>
            <w:r w:rsidRPr="00FC6C46">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280.61　</w:t>
            </w:r>
          </w:p>
        </w:tc>
      </w:tr>
      <w:tr w:rsidR="00C17F88">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C17F88" w:rsidRPr="00FC6C46" w:rsidRDefault="00D87A9E">
            <w:pPr>
              <w:widowControl/>
              <w:jc w:val="left"/>
              <w:rPr>
                <w:rFonts w:ascii="仿宋" w:eastAsia="仿宋" w:hAnsi="仿宋" w:cs="宋体"/>
                <w:b/>
                <w:kern w:val="0"/>
                <w:sz w:val="22"/>
                <w:szCs w:val="22"/>
              </w:rPr>
            </w:pPr>
            <w:r w:rsidRPr="00FC6C46">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14,812.22　</w:t>
            </w:r>
          </w:p>
        </w:tc>
        <w:tc>
          <w:tcPr>
            <w:tcW w:w="2880" w:type="dxa"/>
            <w:gridSpan w:val="2"/>
            <w:tcBorders>
              <w:top w:val="nil"/>
              <w:left w:val="nil"/>
              <w:bottom w:val="single" w:sz="4" w:space="0" w:color="auto"/>
              <w:right w:val="single" w:sz="4" w:space="0" w:color="auto"/>
            </w:tcBorders>
            <w:shd w:val="clear" w:color="auto" w:fill="auto"/>
            <w:noWrap/>
            <w:vAlign w:val="center"/>
          </w:tcPr>
          <w:p w:rsidR="00C17F88" w:rsidRPr="00FC6C46" w:rsidRDefault="00D87A9E">
            <w:pPr>
              <w:widowControl/>
              <w:jc w:val="center"/>
              <w:rPr>
                <w:rFonts w:ascii="仿宋" w:eastAsia="仿宋" w:hAnsi="仿宋" w:cs="宋体"/>
                <w:b/>
                <w:kern w:val="0"/>
                <w:sz w:val="22"/>
                <w:szCs w:val="22"/>
              </w:rPr>
            </w:pPr>
            <w:r w:rsidRPr="00FC6C46">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16,572.76　</w:t>
            </w:r>
          </w:p>
        </w:tc>
      </w:tr>
      <w:tr w:rsidR="00C17F88">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C17F88" w:rsidRPr="00FC6C46" w:rsidRDefault="00D87A9E">
            <w:pPr>
              <w:widowControl/>
              <w:jc w:val="center"/>
              <w:rPr>
                <w:rFonts w:ascii="仿宋" w:eastAsia="仿宋" w:hAnsi="仿宋" w:cs="宋体"/>
                <w:b/>
                <w:bCs/>
                <w:kern w:val="0"/>
                <w:sz w:val="22"/>
                <w:szCs w:val="22"/>
              </w:rPr>
            </w:pPr>
            <w:r w:rsidRPr="00FC6C46">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C17F88" w:rsidRPr="00FC6C46" w:rsidRDefault="00D87A9E">
            <w:pPr>
              <w:widowControl/>
              <w:jc w:val="right"/>
              <w:rPr>
                <w:rFonts w:ascii="仿宋" w:eastAsia="仿宋" w:hAnsi="仿宋" w:cs="宋体"/>
                <w:b/>
                <w:kern w:val="0"/>
                <w:sz w:val="22"/>
                <w:szCs w:val="22"/>
              </w:rPr>
            </w:pPr>
            <w:r w:rsidRPr="00FC6C46">
              <w:rPr>
                <w:rFonts w:ascii="仿宋" w:eastAsia="仿宋" w:hAnsi="仿宋" w:cs="宋体" w:hint="eastAsia"/>
                <w:b/>
                <w:kern w:val="0"/>
                <w:sz w:val="22"/>
                <w:szCs w:val="22"/>
              </w:rPr>
              <w:t xml:space="preserve">100,570.94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C17F88" w:rsidRPr="00FC6C46" w:rsidRDefault="00D87A9E">
            <w:pPr>
              <w:widowControl/>
              <w:jc w:val="center"/>
              <w:rPr>
                <w:rFonts w:ascii="仿宋" w:eastAsia="仿宋" w:hAnsi="仿宋" w:cs="宋体"/>
                <w:b/>
                <w:bCs/>
                <w:kern w:val="0"/>
                <w:sz w:val="22"/>
                <w:szCs w:val="22"/>
              </w:rPr>
            </w:pPr>
            <w:r w:rsidRPr="00FC6C46">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C17F88" w:rsidRPr="00FC6C46" w:rsidRDefault="00D87A9E">
            <w:pPr>
              <w:widowControl/>
              <w:jc w:val="right"/>
              <w:rPr>
                <w:rFonts w:ascii="仿宋" w:eastAsia="仿宋" w:hAnsi="仿宋" w:cs="宋体"/>
                <w:b/>
                <w:bCs/>
                <w:kern w:val="0"/>
                <w:sz w:val="22"/>
                <w:szCs w:val="22"/>
              </w:rPr>
            </w:pPr>
            <w:r w:rsidRPr="00FC6C46">
              <w:rPr>
                <w:rFonts w:ascii="仿宋" w:eastAsia="仿宋" w:hAnsi="仿宋" w:cs="宋体" w:hint="eastAsia"/>
                <w:b/>
                <w:bCs/>
                <w:kern w:val="0"/>
                <w:sz w:val="22"/>
                <w:szCs w:val="22"/>
              </w:rPr>
              <w:t xml:space="preserve">100,570.94　</w:t>
            </w:r>
          </w:p>
        </w:tc>
      </w:tr>
      <w:tr w:rsidR="00C17F88">
        <w:trPr>
          <w:trHeight w:val="585"/>
        </w:trPr>
        <w:tc>
          <w:tcPr>
            <w:tcW w:w="9142" w:type="dxa"/>
            <w:gridSpan w:val="5"/>
            <w:tcBorders>
              <w:top w:val="single" w:sz="8" w:space="0" w:color="auto"/>
              <w:left w:val="nil"/>
              <w:bottom w:val="nil"/>
              <w:right w:val="nil"/>
            </w:tcBorders>
            <w:shd w:val="clear" w:color="auto" w:fill="auto"/>
            <w:vAlign w:val="center"/>
          </w:tcPr>
          <w:p w:rsidR="00C17F88" w:rsidRDefault="00D87A9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注：本表反映部门本年度的总收支和年末结转结余情况。</w:t>
            </w:r>
          </w:p>
        </w:tc>
      </w:tr>
    </w:tbl>
    <w:p w:rsidR="00C17F88" w:rsidRDefault="00C17F88">
      <w:pPr>
        <w:rPr>
          <w:rFonts w:ascii="黑体" w:eastAsia="黑体" w:hAnsi="黑体"/>
          <w:sz w:val="32"/>
        </w:rPr>
        <w:sectPr w:rsidR="00C17F88">
          <w:footerReference w:type="default" r:id="rId12"/>
          <w:pgSz w:w="11906" w:h="16838"/>
          <w:pgMar w:top="1440" w:right="1797" w:bottom="1440" w:left="1797" w:header="851" w:footer="992" w:gutter="0"/>
          <w:cols w:space="720"/>
          <w:docGrid w:type="linesAndChars" w:linePitch="312"/>
        </w:sectPr>
      </w:pPr>
    </w:p>
    <w:p w:rsidR="00C17F88" w:rsidRDefault="00D87A9E">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4A0" w:firstRow="1" w:lastRow="0" w:firstColumn="1" w:lastColumn="0" w:noHBand="0" w:noVBand="1"/>
      </w:tblPr>
      <w:tblGrid>
        <w:gridCol w:w="315"/>
        <w:gridCol w:w="780"/>
        <w:gridCol w:w="180"/>
        <w:gridCol w:w="1766"/>
        <w:gridCol w:w="1709"/>
        <w:gridCol w:w="1727"/>
        <w:gridCol w:w="1657"/>
        <w:gridCol w:w="1393"/>
        <w:gridCol w:w="1393"/>
        <w:gridCol w:w="1341"/>
        <w:gridCol w:w="1794"/>
      </w:tblGrid>
      <w:tr w:rsidR="00C17F88">
        <w:trPr>
          <w:trHeight w:val="405"/>
        </w:trPr>
        <w:tc>
          <w:tcPr>
            <w:tcW w:w="14055" w:type="dxa"/>
            <w:gridSpan w:val="11"/>
            <w:tcBorders>
              <w:top w:val="nil"/>
              <w:left w:val="nil"/>
              <w:bottom w:val="nil"/>
              <w:right w:val="nil"/>
            </w:tcBorders>
            <w:shd w:val="clear" w:color="auto" w:fill="auto"/>
            <w:noWrap/>
            <w:vAlign w:val="center"/>
          </w:tcPr>
          <w:p w:rsidR="00C17F88" w:rsidRDefault="00D87A9E">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收入决算表</w:t>
            </w:r>
          </w:p>
        </w:tc>
      </w:tr>
      <w:tr w:rsidR="00C17F88">
        <w:trPr>
          <w:trHeight w:val="285"/>
        </w:trPr>
        <w:tc>
          <w:tcPr>
            <w:tcW w:w="315"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公开02表</w:t>
            </w:r>
          </w:p>
        </w:tc>
      </w:tr>
      <w:tr w:rsidR="00C17F88">
        <w:trPr>
          <w:trHeight w:val="285"/>
        </w:trPr>
        <w:tc>
          <w:tcPr>
            <w:tcW w:w="1095" w:type="dxa"/>
            <w:gridSpan w:val="2"/>
            <w:tcBorders>
              <w:top w:val="nil"/>
              <w:left w:val="nil"/>
              <w:bottom w:val="nil"/>
              <w:right w:val="nil"/>
            </w:tcBorders>
            <w:shd w:val="clear" w:color="auto" w:fill="FFFFFF"/>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C17F88" w:rsidRDefault="00D87A9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17F88">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其他收入</w:t>
            </w:r>
          </w:p>
        </w:tc>
      </w:tr>
      <w:tr w:rsidR="00C17F88">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C17F88" w:rsidRDefault="00C17F88">
            <w:pPr>
              <w:widowControl/>
              <w:jc w:val="left"/>
              <w:rPr>
                <w:rFonts w:ascii="仿宋" w:eastAsia="仿宋" w:hAnsi="仿宋" w:cs="宋体"/>
                <w:b/>
                <w:kern w:val="0"/>
                <w:sz w:val="24"/>
                <w:szCs w:val="24"/>
              </w:rPr>
            </w:pPr>
          </w:p>
        </w:tc>
      </w:tr>
      <w:tr w:rsidR="00C17F88">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C17F88" w:rsidRDefault="00C17F8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C17F88" w:rsidRDefault="00C17F88">
            <w:pPr>
              <w:widowControl/>
              <w:jc w:val="left"/>
              <w:rPr>
                <w:rFonts w:ascii="仿宋" w:eastAsia="仿宋" w:hAnsi="仿宋" w:cs="宋体"/>
                <w:b/>
                <w:kern w:val="0"/>
                <w:sz w:val="24"/>
                <w:szCs w:val="24"/>
              </w:rPr>
            </w:pPr>
          </w:p>
        </w:tc>
      </w:tr>
      <w:tr w:rsidR="00C17F88">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7</w:t>
            </w:r>
          </w:p>
        </w:tc>
      </w:tr>
      <w:tr w:rsidR="00C17F88">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85,710.50</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83,419.10</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1,094.24　</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1,197.16　</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205</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教育支出</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85,218.70</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82,927.30</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1,094.24</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1,197.16</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20501</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教育管理事务</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274.76</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268.54</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6.22</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2050101</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行政运行</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274.76</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268.54</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6.22</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普通教育</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68,614.33</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66,786.03</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944.24</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884.06</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2050201</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学前教育</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2,828.19</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2,821.27</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6.91</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2050202</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小学教育</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29,274.67</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29,110.46</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164.21</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2050203</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初中教育</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16,035.40</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15,894.88</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140.52</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2050204</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高中教育</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11,692.84</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10,671.27</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944.24</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77.33</w:t>
            </w:r>
          </w:p>
        </w:tc>
      </w:tr>
      <w:tr w:rsidR="00C17F88">
        <w:trPr>
          <w:trHeight w:val="450"/>
        </w:trPr>
        <w:tc>
          <w:tcPr>
            <w:tcW w:w="1275" w:type="dxa"/>
            <w:gridSpan w:val="3"/>
            <w:tcBorders>
              <w:top w:val="single" w:sz="4" w:space="0" w:color="auto"/>
              <w:left w:val="single" w:sz="8" w:space="0" w:color="auto"/>
              <w:bottom w:val="single" w:sz="8"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2050299</w:t>
            </w:r>
          </w:p>
        </w:tc>
        <w:tc>
          <w:tcPr>
            <w:tcW w:w="1766" w:type="dxa"/>
            <w:tcBorders>
              <w:top w:val="nil"/>
              <w:left w:val="nil"/>
              <w:bottom w:val="single" w:sz="8"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其他普通教育支出</w:t>
            </w:r>
          </w:p>
        </w:tc>
        <w:tc>
          <w:tcPr>
            <w:tcW w:w="1709"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8,783.23</w:t>
            </w:r>
          </w:p>
        </w:tc>
        <w:tc>
          <w:tcPr>
            <w:tcW w:w="1727"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8,288.15</w:t>
            </w:r>
          </w:p>
        </w:tc>
        <w:tc>
          <w:tcPr>
            <w:tcW w:w="1657" w:type="dxa"/>
            <w:tcBorders>
              <w:top w:val="nil"/>
              <w:left w:val="nil"/>
              <w:bottom w:val="single" w:sz="8"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8"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8"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8"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495.08</w:t>
            </w:r>
          </w:p>
        </w:tc>
      </w:tr>
      <w:tr w:rsidR="00C17F88">
        <w:trPr>
          <w:trHeight w:val="450"/>
        </w:trPr>
        <w:tc>
          <w:tcPr>
            <w:tcW w:w="1275"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lastRenderedPageBreak/>
              <w:t>20503</w:t>
            </w:r>
          </w:p>
        </w:tc>
        <w:tc>
          <w:tcPr>
            <w:tcW w:w="176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职业教育</w:t>
            </w:r>
          </w:p>
        </w:tc>
        <w:tc>
          <w:tcPr>
            <w:tcW w:w="1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2,054.61</w:t>
            </w:r>
          </w:p>
        </w:tc>
        <w:tc>
          <w:tcPr>
            <w:tcW w:w="17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1,898.72</w:t>
            </w:r>
          </w:p>
        </w:tc>
        <w:tc>
          <w:tcPr>
            <w:tcW w:w="165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150</w:t>
            </w:r>
          </w:p>
        </w:tc>
        <w:tc>
          <w:tcPr>
            <w:tcW w:w="13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5.9</w:t>
            </w:r>
          </w:p>
        </w:tc>
      </w:tr>
      <w:tr w:rsidR="00C17F88">
        <w:trPr>
          <w:trHeight w:val="450"/>
        </w:trPr>
        <w:tc>
          <w:tcPr>
            <w:tcW w:w="127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2050302</w:t>
            </w:r>
          </w:p>
        </w:tc>
        <w:tc>
          <w:tcPr>
            <w:tcW w:w="1766" w:type="dxa"/>
            <w:tcBorders>
              <w:top w:val="single" w:sz="8" w:space="0" w:color="auto"/>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中专教育</w:t>
            </w:r>
          </w:p>
        </w:tc>
        <w:tc>
          <w:tcPr>
            <w:tcW w:w="1709" w:type="dxa"/>
            <w:tcBorders>
              <w:top w:val="single" w:sz="8" w:space="0" w:color="auto"/>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313.25</w:t>
            </w:r>
          </w:p>
        </w:tc>
        <w:tc>
          <w:tcPr>
            <w:tcW w:w="1727" w:type="dxa"/>
            <w:tcBorders>
              <w:top w:val="single" w:sz="8" w:space="0" w:color="auto"/>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307.37</w:t>
            </w:r>
          </w:p>
        </w:tc>
        <w:tc>
          <w:tcPr>
            <w:tcW w:w="1657" w:type="dxa"/>
            <w:tcBorders>
              <w:top w:val="single" w:sz="8" w:space="0" w:color="auto"/>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single" w:sz="8" w:space="0" w:color="auto"/>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5.88</w:t>
            </w:r>
          </w:p>
        </w:tc>
        <w:tc>
          <w:tcPr>
            <w:tcW w:w="1393" w:type="dxa"/>
            <w:tcBorders>
              <w:top w:val="single" w:sz="8" w:space="0" w:color="auto"/>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single" w:sz="8" w:space="0" w:color="auto"/>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single" w:sz="8" w:space="0" w:color="auto"/>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2050304</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职业高中教育</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1,741.36</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1,591.35</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144.12</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5.9</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20507</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特殊教育</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696.98</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681.21</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15.77</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2050701</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特殊学校教育</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696.98</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681.21</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15.77</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20508</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进修及培训</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1,148.67</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1,148.52</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0.15</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2050801</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教师进修</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1,148.67</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1,148.52</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0.15</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20509</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教育费附加安排的支出</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5,883.36</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5,883.36</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2050999</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其他教育费附加安排的支出</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5,883.36</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5,883.36</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20599</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其他教育支出</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6,545.99</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6,260.92</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285.06</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2059999</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其他教育支出</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6,545.99</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6,260.92</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285.06</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211</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节能环保支出</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395.8</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395.8</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21111</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污染减排</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395.8</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395.8</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2111199</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其他污染减排支出</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395.8</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395.8</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r>
      <w:tr w:rsidR="00C17F88">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229</w:t>
            </w:r>
          </w:p>
        </w:tc>
        <w:tc>
          <w:tcPr>
            <w:tcW w:w="1766"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其他支出</w:t>
            </w:r>
          </w:p>
        </w:tc>
        <w:tc>
          <w:tcPr>
            <w:tcW w:w="1709"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96</w:t>
            </w:r>
          </w:p>
        </w:tc>
        <w:tc>
          <w:tcPr>
            <w:tcW w:w="172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96</w:t>
            </w:r>
          </w:p>
        </w:tc>
        <w:tc>
          <w:tcPr>
            <w:tcW w:w="1657"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r>
      <w:tr w:rsidR="00C17F88">
        <w:trPr>
          <w:trHeight w:val="450"/>
        </w:trPr>
        <w:tc>
          <w:tcPr>
            <w:tcW w:w="1275" w:type="dxa"/>
            <w:gridSpan w:val="3"/>
            <w:tcBorders>
              <w:top w:val="single" w:sz="4" w:space="0" w:color="auto"/>
              <w:left w:val="single" w:sz="8" w:space="0" w:color="auto"/>
              <w:bottom w:val="single" w:sz="8"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22960</w:t>
            </w:r>
          </w:p>
        </w:tc>
        <w:tc>
          <w:tcPr>
            <w:tcW w:w="1766" w:type="dxa"/>
            <w:tcBorders>
              <w:top w:val="nil"/>
              <w:left w:val="nil"/>
              <w:bottom w:val="single" w:sz="8"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彩票公益金安排的支出</w:t>
            </w:r>
          </w:p>
        </w:tc>
        <w:tc>
          <w:tcPr>
            <w:tcW w:w="1709"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96</w:t>
            </w:r>
          </w:p>
        </w:tc>
        <w:tc>
          <w:tcPr>
            <w:tcW w:w="1727"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96</w:t>
            </w:r>
          </w:p>
        </w:tc>
        <w:tc>
          <w:tcPr>
            <w:tcW w:w="1657" w:type="dxa"/>
            <w:tcBorders>
              <w:top w:val="nil"/>
              <w:left w:val="nil"/>
              <w:bottom w:val="single" w:sz="8"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0</w:t>
            </w:r>
          </w:p>
        </w:tc>
        <w:tc>
          <w:tcPr>
            <w:tcW w:w="1393" w:type="dxa"/>
            <w:tcBorders>
              <w:top w:val="nil"/>
              <w:left w:val="nil"/>
              <w:bottom w:val="single" w:sz="8"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nil"/>
              <w:left w:val="nil"/>
              <w:bottom w:val="single" w:sz="8" w:space="0" w:color="auto"/>
              <w:right w:val="single" w:sz="4"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nil"/>
              <w:left w:val="nil"/>
              <w:bottom w:val="single" w:sz="8"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r>
      <w:tr w:rsidR="00C17F88">
        <w:trPr>
          <w:trHeight w:val="450"/>
        </w:trPr>
        <w:tc>
          <w:tcPr>
            <w:tcW w:w="1275"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lastRenderedPageBreak/>
              <w:t>2296004</w:t>
            </w:r>
          </w:p>
        </w:tc>
        <w:tc>
          <w:tcPr>
            <w:tcW w:w="1766"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C17F88" w:rsidRDefault="00D87A9E">
            <w:pPr>
              <w:widowControl/>
              <w:jc w:val="center"/>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用于教育事业的彩票公益金支出</w:t>
            </w:r>
          </w:p>
        </w:tc>
        <w:tc>
          <w:tcPr>
            <w:tcW w:w="1709"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96</w:t>
            </w:r>
          </w:p>
        </w:tc>
        <w:tc>
          <w:tcPr>
            <w:tcW w:w="172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96</w:t>
            </w:r>
          </w:p>
        </w:tc>
        <w:tc>
          <w:tcPr>
            <w:tcW w:w="165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color w:val="000000"/>
                <w:kern w:val="0"/>
                <w:sz w:val="22"/>
                <w:szCs w:val="22"/>
                <w:lang w:bidi="ar"/>
              </w:rPr>
            </w:pPr>
            <w:r>
              <w:rPr>
                <w:rFonts w:ascii="仿宋" w:eastAsia="仿宋" w:hAnsi="仿宋" w:cs="仿宋" w:hint="eastAsia"/>
                <w:b/>
                <w:bCs/>
                <w:color w:val="000000"/>
                <w:kern w:val="0"/>
                <w:sz w:val="22"/>
                <w:szCs w:val="22"/>
                <w:lang w:bidi="ar"/>
              </w:rPr>
              <w:t>0</w:t>
            </w:r>
          </w:p>
        </w:tc>
        <w:tc>
          <w:tcPr>
            <w:tcW w:w="13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341"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C17F88">
            <w:pPr>
              <w:widowControl/>
              <w:jc w:val="right"/>
              <w:rPr>
                <w:rFonts w:ascii="仿宋" w:eastAsia="仿宋" w:hAnsi="仿宋" w:cs="仿宋"/>
                <w:b/>
                <w:bCs/>
                <w:kern w:val="0"/>
                <w:sz w:val="22"/>
                <w:szCs w:val="22"/>
              </w:rPr>
            </w:pPr>
          </w:p>
        </w:tc>
        <w:tc>
          <w:tcPr>
            <w:tcW w:w="179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r>
      <w:tr w:rsidR="00C17F88">
        <w:trPr>
          <w:trHeight w:val="615"/>
        </w:trPr>
        <w:tc>
          <w:tcPr>
            <w:tcW w:w="14055" w:type="dxa"/>
            <w:gridSpan w:val="11"/>
            <w:tcBorders>
              <w:top w:val="single" w:sz="8" w:space="0" w:color="auto"/>
              <w:left w:val="nil"/>
              <w:bottom w:val="nil"/>
              <w:right w:val="nil"/>
            </w:tcBorders>
            <w:shd w:val="clear" w:color="auto" w:fill="auto"/>
            <w:vAlign w:val="center"/>
          </w:tcPr>
          <w:p w:rsidR="00C17F88" w:rsidRDefault="00D87A9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注：本表反映部门本年度取得的各项收入情况。</w:t>
            </w:r>
          </w:p>
        </w:tc>
      </w:tr>
    </w:tbl>
    <w:p w:rsidR="00C17F88" w:rsidRDefault="00D87A9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4A0" w:firstRow="1" w:lastRow="0" w:firstColumn="1" w:lastColumn="0" w:noHBand="0" w:noVBand="1"/>
      </w:tblPr>
      <w:tblGrid>
        <w:gridCol w:w="735"/>
        <w:gridCol w:w="540"/>
        <w:gridCol w:w="86"/>
        <w:gridCol w:w="1701"/>
        <w:gridCol w:w="1813"/>
        <w:gridCol w:w="1440"/>
        <w:gridCol w:w="1440"/>
        <w:gridCol w:w="1440"/>
        <w:gridCol w:w="1418"/>
        <w:gridCol w:w="1418"/>
        <w:gridCol w:w="1418"/>
        <w:gridCol w:w="1418"/>
      </w:tblGrid>
      <w:tr w:rsidR="00C17F88">
        <w:trPr>
          <w:trHeight w:val="405"/>
        </w:trPr>
        <w:tc>
          <w:tcPr>
            <w:tcW w:w="14867" w:type="dxa"/>
            <w:gridSpan w:val="12"/>
            <w:tcBorders>
              <w:top w:val="nil"/>
              <w:left w:val="nil"/>
              <w:bottom w:val="nil"/>
              <w:right w:val="nil"/>
            </w:tcBorders>
            <w:shd w:val="clear" w:color="auto" w:fill="auto"/>
            <w:noWrap/>
            <w:vAlign w:val="center"/>
          </w:tcPr>
          <w:p w:rsidR="00C17F88" w:rsidRDefault="00D87A9E">
            <w:pPr>
              <w:widowControl/>
              <w:spacing w:line="560" w:lineRule="exact"/>
              <w:jc w:val="center"/>
              <w:rPr>
                <w:rFonts w:ascii="仿宋" w:eastAsia="仿宋" w:hAnsi="仿宋" w:cs="宋体"/>
                <w:b/>
                <w:color w:val="000000"/>
                <w:kern w:val="0"/>
                <w:sz w:val="32"/>
                <w:szCs w:val="32"/>
              </w:rPr>
            </w:pPr>
            <w:r>
              <w:rPr>
                <w:rFonts w:ascii="仿宋" w:eastAsia="仿宋" w:hAnsi="仿宋" w:cs="宋体" w:hint="eastAsia"/>
                <w:b/>
                <w:color w:val="000000"/>
                <w:kern w:val="0"/>
                <w:sz w:val="32"/>
                <w:szCs w:val="32"/>
              </w:rPr>
              <w:t>支出决算表</w:t>
            </w:r>
          </w:p>
        </w:tc>
      </w:tr>
      <w:tr w:rsidR="00C17F88">
        <w:trPr>
          <w:trHeight w:val="285"/>
        </w:trPr>
        <w:tc>
          <w:tcPr>
            <w:tcW w:w="735"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公开03表</w:t>
            </w:r>
          </w:p>
        </w:tc>
      </w:tr>
      <w:tr w:rsidR="00C17F88">
        <w:trPr>
          <w:trHeight w:val="285"/>
        </w:trPr>
        <w:tc>
          <w:tcPr>
            <w:tcW w:w="735" w:type="dxa"/>
            <w:tcBorders>
              <w:top w:val="nil"/>
              <w:left w:val="nil"/>
              <w:bottom w:val="nil"/>
              <w:right w:val="nil"/>
            </w:tcBorders>
            <w:shd w:val="clear" w:color="auto" w:fill="FFFFFF"/>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17F88" w:rsidRDefault="00D87A9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C17F8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对附属单位补助支出</w:t>
            </w:r>
          </w:p>
        </w:tc>
      </w:tr>
      <w:tr w:rsidR="00C17F8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C17F88" w:rsidRDefault="00C17F88">
            <w:pPr>
              <w:widowControl/>
              <w:jc w:val="left"/>
              <w:rPr>
                <w:rFonts w:ascii="仿宋" w:eastAsia="仿宋" w:hAnsi="仿宋" w:cs="宋体"/>
                <w:b/>
                <w:kern w:val="0"/>
                <w:sz w:val="24"/>
                <w:szCs w:val="24"/>
              </w:rPr>
            </w:pPr>
          </w:p>
        </w:tc>
      </w:tr>
      <w:tr w:rsidR="00C17F8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C17F88" w:rsidRDefault="00C17F88">
            <w:pPr>
              <w:widowControl/>
              <w:jc w:val="left"/>
              <w:rPr>
                <w:rFonts w:ascii="仿宋" w:eastAsia="仿宋" w:hAnsi="仿宋" w:cs="宋体"/>
                <w:b/>
                <w:kern w:val="0"/>
                <w:sz w:val="24"/>
                <w:szCs w:val="24"/>
              </w:rPr>
            </w:pPr>
          </w:p>
        </w:tc>
      </w:tr>
      <w:tr w:rsidR="00C17F8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C17F8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83,717.57</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62,691.76</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56288.00</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6403.76</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21,025.81</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205</w:t>
            </w:r>
          </w:p>
        </w:tc>
        <w:tc>
          <w:tcPr>
            <w:tcW w:w="1787" w:type="dxa"/>
            <w:gridSpan w:val="2"/>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教育支出</w:t>
            </w:r>
          </w:p>
        </w:tc>
        <w:tc>
          <w:tcPr>
            <w:tcW w:w="181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83,607.39</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62,663.84</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56288.00</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6375.83</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20,943.55</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20501</w:t>
            </w:r>
          </w:p>
        </w:tc>
        <w:tc>
          <w:tcPr>
            <w:tcW w:w="1787" w:type="dxa"/>
            <w:gridSpan w:val="2"/>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教育管理事务</w:t>
            </w:r>
          </w:p>
        </w:tc>
        <w:tc>
          <w:tcPr>
            <w:tcW w:w="181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338.38</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337.35</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230.28</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107.07</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1.03</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2050101</w:t>
            </w:r>
          </w:p>
        </w:tc>
        <w:tc>
          <w:tcPr>
            <w:tcW w:w="1787" w:type="dxa"/>
            <w:gridSpan w:val="2"/>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行政运行</w:t>
            </w:r>
          </w:p>
        </w:tc>
        <w:tc>
          <w:tcPr>
            <w:tcW w:w="181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338.38</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337.35</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230.28</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107.07</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1.03</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w:t>
            </w:r>
          </w:p>
        </w:tc>
        <w:tc>
          <w:tcPr>
            <w:tcW w:w="1787" w:type="dxa"/>
            <w:gridSpan w:val="2"/>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普通教育</w:t>
            </w:r>
          </w:p>
        </w:tc>
        <w:tc>
          <w:tcPr>
            <w:tcW w:w="181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65,734.52</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57,174.96</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52135.49</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5039.46</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8,559.56</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2050201</w:t>
            </w:r>
          </w:p>
        </w:tc>
        <w:tc>
          <w:tcPr>
            <w:tcW w:w="1787" w:type="dxa"/>
            <w:gridSpan w:val="2"/>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学前教育</w:t>
            </w:r>
          </w:p>
        </w:tc>
        <w:tc>
          <w:tcPr>
            <w:tcW w:w="1813"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2,572.67</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2,314.52</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2028.02</w:t>
            </w:r>
          </w:p>
        </w:tc>
        <w:tc>
          <w:tcPr>
            <w:tcW w:w="144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286.50</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258.15</w:t>
            </w:r>
          </w:p>
        </w:tc>
        <w:tc>
          <w:tcPr>
            <w:tcW w:w="1418"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2050202</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小学教育</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28,708.31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28,605.64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28365.09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240.55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102.67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2050203</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初中教育</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16,009.45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15,725.96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15424.60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301.37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283.49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2050204</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高中教育</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11,176.53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7,025.27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6147.23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878.04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4,151.26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其他普通教育支出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7,267.57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3,503.58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170.57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3333.01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3,763.99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lastRenderedPageBreak/>
              <w:t>20503</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职业教育</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2,003.80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1,835.61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1492.30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343.31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168.19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2050302</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中专教育</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262.44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94.25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13.17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81.08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168.19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2050304</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职业高中教育</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1,741.37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1,741.37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1479.13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262.23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20507</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特殊教育</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691.42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664.06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610.73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53.33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27.36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2050701</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特殊学校教育</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691.42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664.06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610.73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53.33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27.36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20508</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进修及培训</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1,117.56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1,117.56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1047.47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70.08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2050801</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教师进修</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1,117.56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1,117.56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1047.47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70.08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教育费附加安排的支出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9,830.66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598.9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598.91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9,231.76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2050999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其他教育费附加安排的支出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9,830.66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598.9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598.91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9,231.76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其他教育支出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3,891.04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935.39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771.72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163.67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2,955.65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2059999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其他教育支出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3,891.04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935.39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771.72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163.67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2,955.65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229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其他支出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110.19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27.93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27.93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82.26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22960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彩票公益金安排的支出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110.19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27.93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27.93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82.26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2296004</w:t>
            </w:r>
          </w:p>
        </w:tc>
        <w:tc>
          <w:tcPr>
            <w:tcW w:w="1787"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用于教育事业的彩票公益金支出</w:t>
            </w:r>
          </w:p>
        </w:tc>
        <w:tc>
          <w:tcPr>
            <w:tcW w:w="18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110.19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27.93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b/>
                <w:kern w:val="0"/>
                <w:sz w:val="22"/>
                <w:szCs w:val="22"/>
              </w:rPr>
              <w:t>27.93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82.26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1418" w:type="dxa"/>
            <w:tcBorders>
              <w:top w:val="single" w:sz="4"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bl>
    <w:p w:rsidR="00C17F88" w:rsidRDefault="00C17F88"/>
    <w:p w:rsidR="00C17F88" w:rsidRDefault="00D87A9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注：本表反映部门本年度各项支出情况。</w:t>
      </w:r>
    </w:p>
    <w:p w:rsidR="00C17F88" w:rsidRDefault="00D87A9E">
      <w:r>
        <w:br w:type="page"/>
      </w:r>
    </w:p>
    <w:tbl>
      <w:tblPr>
        <w:tblW w:w="14867" w:type="dxa"/>
        <w:tblInd w:w="93" w:type="dxa"/>
        <w:tblLook w:val="04A0" w:firstRow="1" w:lastRow="0" w:firstColumn="1" w:lastColumn="0" w:noHBand="0" w:noVBand="1"/>
      </w:tblPr>
      <w:tblGrid>
        <w:gridCol w:w="14867"/>
      </w:tblGrid>
      <w:tr w:rsidR="00C17F88">
        <w:trPr>
          <w:trHeight w:val="630"/>
        </w:trPr>
        <w:tc>
          <w:tcPr>
            <w:tcW w:w="14867" w:type="dxa"/>
            <w:tcBorders>
              <w:top w:val="nil"/>
              <w:left w:val="nil"/>
              <w:bottom w:val="nil"/>
              <w:right w:val="nil"/>
            </w:tcBorders>
            <w:shd w:val="clear" w:color="auto" w:fill="auto"/>
            <w:vAlign w:val="center"/>
          </w:tcPr>
          <w:p w:rsidR="00C17F88" w:rsidRDefault="00C17F88">
            <w:pPr>
              <w:widowControl/>
              <w:jc w:val="left"/>
              <w:rPr>
                <w:rFonts w:ascii="仿宋" w:eastAsia="仿宋" w:hAnsi="仿宋" w:cs="宋体"/>
                <w:b/>
                <w:kern w:val="0"/>
                <w:sz w:val="24"/>
                <w:szCs w:val="24"/>
              </w:rPr>
            </w:pPr>
          </w:p>
        </w:tc>
      </w:tr>
    </w:tbl>
    <w:p w:rsidR="00C17F88" w:rsidRDefault="00D87A9E">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4A0" w:firstRow="1" w:lastRow="0" w:firstColumn="1" w:lastColumn="0" w:noHBand="0" w:noVBand="1"/>
      </w:tblPr>
      <w:tblGrid>
        <w:gridCol w:w="3255"/>
        <w:gridCol w:w="540"/>
        <w:gridCol w:w="1440"/>
        <w:gridCol w:w="3060"/>
        <w:gridCol w:w="180"/>
        <w:gridCol w:w="540"/>
        <w:gridCol w:w="1260"/>
        <w:gridCol w:w="360"/>
        <w:gridCol w:w="1440"/>
        <w:gridCol w:w="1800"/>
      </w:tblGrid>
      <w:tr w:rsidR="00C17F88">
        <w:trPr>
          <w:trHeight w:val="360"/>
        </w:trPr>
        <w:tc>
          <w:tcPr>
            <w:tcW w:w="13875" w:type="dxa"/>
            <w:gridSpan w:val="10"/>
            <w:tcBorders>
              <w:top w:val="nil"/>
              <w:left w:val="nil"/>
              <w:bottom w:val="nil"/>
              <w:right w:val="nil"/>
            </w:tcBorders>
            <w:shd w:val="clear" w:color="auto" w:fill="auto"/>
            <w:noWrap/>
            <w:vAlign w:val="center"/>
          </w:tcPr>
          <w:p w:rsidR="00C17F88" w:rsidRDefault="00D87A9E">
            <w:pPr>
              <w:widowControl/>
              <w:spacing w:line="560" w:lineRule="exact"/>
              <w:jc w:val="center"/>
              <w:rPr>
                <w:rFonts w:ascii="仿宋" w:eastAsia="仿宋" w:hAnsi="仿宋" w:cs="宋体"/>
                <w:b/>
                <w:color w:val="000000"/>
                <w:kern w:val="0"/>
                <w:sz w:val="32"/>
                <w:szCs w:val="32"/>
              </w:rPr>
            </w:pPr>
            <w:bookmarkStart w:id="1" w:name="RANGE!A1:H22"/>
            <w:bookmarkEnd w:id="1"/>
            <w:r>
              <w:rPr>
                <w:rFonts w:ascii="仿宋" w:eastAsia="仿宋" w:hAnsi="仿宋" w:cs="宋体" w:hint="eastAsia"/>
                <w:b/>
                <w:color w:val="000000"/>
                <w:kern w:val="0"/>
                <w:sz w:val="32"/>
                <w:szCs w:val="32"/>
              </w:rPr>
              <w:t>财政拨款收入支出决算总表</w:t>
            </w:r>
          </w:p>
        </w:tc>
      </w:tr>
      <w:tr w:rsidR="00C17F88">
        <w:trPr>
          <w:trHeight w:val="199"/>
        </w:trPr>
        <w:tc>
          <w:tcPr>
            <w:tcW w:w="3255"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公开04表</w:t>
            </w:r>
          </w:p>
        </w:tc>
      </w:tr>
      <w:tr w:rsidR="00C17F88">
        <w:trPr>
          <w:trHeight w:val="300"/>
        </w:trPr>
        <w:tc>
          <w:tcPr>
            <w:tcW w:w="3255" w:type="dxa"/>
            <w:tcBorders>
              <w:top w:val="nil"/>
              <w:left w:val="nil"/>
              <w:bottom w:val="nil"/>
              <w:right w:val="nil"/>
            </w:tcBorders>
            <w:shd w:val="clear" w:color="auto" w:fill="FFFFFF"/>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kern w:val="0"/>
                <w:sz w:val="24"/>
                <w:szCs w:val="24"/>
              </w:rPr>
            </w:pPr>
            <w:r>
              <w:rPr>
                <w:rFonts w:ascii="仿宋" w:eastAsia="仿宋" w:hAnsi="仿宋" w:cs="宋体" w:hint="eastAsia"/>
                <w:b/>
                <w:kern w:val="0"/>
                <w:sz w:val="24"/>
                <w:szCs w:val="24"/>
              </w:rPr>
              <w:t xml:space="preserve">　</w:t>
            </w:r>
            <w:r>
              <w:rPr>
                <w:rFonts w:ascii="仿宋" w:eastAsia="仿宋" w:hAnsi="仿宋" w:cs="宋体" w:hint="eastAsia"/>
                <w:b/>
                <w:color w:val="000000"/>
                <w:kern w:val="0"/>
                <w:sz w:val="20"/>
              </w:rPr>
              <w:t>单位：万元</w:t>
            </w:r>
          </w:p>
        </w:tc>
      </w:tr>
      <w:tr w:rsidR="00C17F88">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支出</w:t>
            </w:r>
          </w:p>
        </w:tc>
      </w:tr>
      <w:tr w:rsidR="00C17F88">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政府性基金预算财政拨款</w:t>
            </w: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83,323.10　</w:t>
            </w: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96.00　</w:t>
            </w: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二、</w:t>
            </w:r>
            <w:r>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三、</w:t>
            </w:r>
            <w:r>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80,760.05　</w:t>
            </w: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80,760.05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0.00　</w:t>
            </w: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四、</w:t>
            </w:r>
            <w:r>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五、</w:t>
            </w:r>
            <w:r>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六、</w:t>
            </w:r>
            <w:r>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C17F8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七、</w:t>
            </w:r>
            <w:r>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C17F8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八、</w:t>
            </w:r>
            <w:r>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C17F8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九、</w:t>
            </w:r>
            <w:r>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C17F8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w:t>
            </w:r>
            <w:r>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02"/>
        </w:trPr>
        <w:tc>
          <w:tcPr>
            <w:tcW w:w="3255" w:type="dxa"/>
            <w:tcBorders>
              <w:top w:val="nil"/>
              <w:left w:val="single" w:sz="8" w:space="0" w:color="auto"/>
              <w:bottom w:val="single" w:sz="8" w:space="0" w:color="auto"/>
              <w:right w:val="single" w:sz="4" w:space="0" w:color="auto"/>
            </w:tcBorders>
            <w:shd w:val="clear" w:color="auto" w:fill="FFFFFF"/>
            <w:noWrap/>
            <w:vAlign w:val="center"/>
          </w:tcPr>
          <w:p w:rsidR="00C17F88" w:rsidRDefault="00C17F88">
            <w:pPr>
              <w:widowControl/>
              <w:jc w:val="left"/>
              <w:rPr>
                <w:rFonts w:ascii="仿宋" w:eastAsia="仿宋" w:hAnsi="仿宋" w:cs="宋体"/>
                <w:b/>
                <w:kern w:val="0"/>
                <w:sz w:val="22"/>
                <w:szCs w:val="22"/>
              </w:rPr>
            </w:pPr>
          </w:p>
        </w:tc>
        <w:tc>
          <w:tcPr>
            <w:tcW w:w="1980" w:type="dxa"/>
            <w:gridSpan w:val="2"/>
            <w:tcBorders>
              <w:top w:val="nil"/>
              <w:left w:val="nil"/>
              <w:bottom w:val="single" w:sz="8"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3060" w:type="dxa"/>
            <w:tcBorders>
              <w:top w:val="nil"/>
              <w:left w:val="nil"/>
              <w:bottom w:val="single" w:sz="8"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十一、</w:t>
            </w:r>
            <w:r>
              <w:rPr>
                <w:rFonts w:ascii="仿宋" w:eastAsia="仿宋" w:hAnsi="仿宋"/>
                <w:b/>
                <w:sz w:val="22"/>
                <w:szCs w:val="22"/>
              </w:rPr>
              <w:t>交通运输支出</w:t>
            </w:r>
          </w:p>
        </w:tc>
        <w:tc>
          <w:tcPr>
            <w:tcW w:w="1980" w:type="dxa"/>
            <w:gridSpan w:val="3"/>
            <w:tcBorders>
              <w:top w:val="nil"/>
              <w:left w:val="nil"/>
              <w:bottom w:val="single" w:sz="8"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8"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tcBorders>
              <w:top w:val="nil"/>
              <w:left w:val="single" w:sz="4" w:space="0" w:color="auto"/>
              <w:bottom w:val="single" w:sz="8"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02"/>
        </w:trPr>
        <w:tc>
          <w:tcPr>
            <w:tcW w:w="3255"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C17F88" w:rsidRDefault="00C17F88">
            <w:pPr>
              <w:widowControl/>
              <w:jc w:val="left"/>
              <w:rPr>
                <w:rFonts w:ascii="仿宋" w:eastAsia="仿宋" w:hAnsi="仿宋" w:cs="宋体"/>
                <w:b/>
                <w:kern w:val="0"/>
                <w:sz w:val="22"/>
                <w:szCs w:val="22"/>
              </w:rPr>
            </w:pPr>
          </w:p>
        </w:tc>
        <w:tc>
          <w:tcPr>
            <w:tcW w:w="19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3060"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十二、</w:t>
            </w:r>
            <w:r>
              <w:rPr>
                <w:rFonts w:ascii="仿宋" w:eastAsia="仿宋" w:hAnsi="仿宋"/>
                <w:b/>
                <w:sz w:val="22"/>
                <w:szCs w:val="22"/>
              </w:rPr>
              <w:t>资源勘探信息等支出</w:t>
            </w:r>
          </w:p>
        </w:tc>
        <w:tc>
          <w:tcPr>
            <w:tcW w:w="1980" w:type="dxa"/>
            <w:gridSpan w:val="3"/>
            <w:tcBorders>
              <w:top w:val="single" w:sz="8" w:space="0" w:color="auto"/>
              <w:left w:val="single" w:sz="8" w:space="0" w:color="auto"/>
              <w:bottom w:val="single" w:sz="8" w:space="0" w:color="auto"/>
              <w:right w:val="single" w:sz="8" w:space="0" w:color="auto"/>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gridSpan w:val="2"/>
            <w:tcBorders>
              <w:top w:val="single" w:sz="8" w:space="0" w:color="auto"/>
              <w:left w:val="single" w:sz="8" w:space="0" w:color="auto"/>
              <w:bottom w:val="single" w:sz="8" w:space="0" w:color="auto"/>
              <w:right w:val="single" w:sz="8" w:space="0" w:color="auto"/>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02"/>
        </w:trPr>
        <w:tc>
          <w:tcPr>
            <w:tcW w:w="3255" w:type="dxa"/>
            <w:tcBorders>
              <w:top w:val="single" w:sz="8" w:space="0" w:color="auto"/>
              <w:left w:val="single" w:sz="8" w:space="0" w:color="auto"/>
              <w:bottom w:val="single" w:sz="4" w:space="0" w:color="auto"/>
              <w:right w:val="single" w:sz="4" w:space="0" w:color="auto"/>
            </w:tcBorders>
            <w:shd w:val="clear" w:color="auto" w:fill="FFFFFF"/>
            <w:noWrap/>
            <w:vAlign w:val="center"/>
          </w:tcPr>
          <w:p w:rsidR="00C17F88" w:rsidRDefault="00C17F88">
            <w:pPr>
              <w:widowControl/>
              <w:jc w:val="left"/>
              <w:rPr>
                <w:rFonts w:ascii="仿宋" w:eastAsia="仿宋" w:hAnsi="仿宋" w:cs="宋体"/>
                <w:b/>
                <w:kern w:val="0"/>
                <w:sz w:val="22"/>
                <w:szCs w:val="22"/>
              </w:rPr>
            </w:pPr>
          </w:p>
        </w:tc>
        <w:tc>
          <w:tcPr>
            <w:tcW w:w="1980" w:type="dxa"/>
            <w:gridSpan w:val="2"/>
            <w:tcBorders>
              <w:top w:val="single" w:sz="8" w:space="0" w:color="auto"/>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3060" w:type="dxa"/>
            <w:tcBorders>
              <w:top w:val="single" w:sz="8" w:space="0" w:color="auto"/>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十三、</w:t>
            </w:r>
            <w:r>
              <w:rPr>
                <w:rFonts w:ascii="仿宋" w:eastAsia="仿宋" w:hAnsi="仿宋"/>
                <w:b/>
                <w:sz w:val="22"/>
                <w:szCs w:val="22"/>
              </w:rPr>
              <w:t>商业服务业等支出</w:t>
            </w:r>
          </w:p>
        </w:tc>
        <w:tc>
          <w:tcPr>
            <w:tcW w:w="1980" w:type="dxa"/>
            <w:gridSpan w:val="3"/>
            <w:tcBorders>
              <w:top w:val="single" w:sz="8" w:space="0" w:color="auto"/>
              <w:left w:val="nil"/>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gridSpan w:val="2"/>
            <w:tcBorders>
              <w:top w:val="single" w:sz="8" w:space="0" w:color="auto"/>
              <w:left w:val="single" w:sz="4" w:space="0" w:color="auto"/>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tcBorders>
              <w:top w:val="single" w:sz="8" w:space="0" w:color="auto"/>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C17F8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十四、</w:t>
            </w:r>
            <w:r>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C17F8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十五、</w:t>
            </w:r>
            <w:r>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C17F8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十六、</w:t>
            </w:r>
            <w:r>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C17F88">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r>
      <w:tr w:rsidR="00C17F88">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C17F88" w:rsidRDefault="00C17F88">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十七、</w:t>
            </w:r>
            <w:r>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110.19</w:t>
            </w:r>
          </w:p>
        </w:tc>
        <w:tc>
          <w:tcPr>
            <w:tcW w:w="1800" w:type="dxa"/>
            <w:gridSpan w:val="2"/>
            <w:tcBorders>
              <w:top w:val="nil"/>
              <w:left w:val="single" w:sz="4" w:space="0" w:color="auto"/>
              <w:bottom w:val="single" w:sz="4" w:space="0" w:color="auto"/>
              <w:right w:val="nil"/>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0.00</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110.19</w:t>
            </w:r>
          </w:p>
        </w:tc>
      </w:tr>
      <w:tr w:rsidR="00C17F8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17F8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83,419.10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center"/>
              <w:rPr>
                <w:rFonts w:ascii="仿宋" w:eastAsia="仿宋" w:hAnsi="仿宋" w:cs="宋体"/>
                <w:b/>
                <w:bCs/>
                <w:kern w:val="0"/>
                <w:sz w:val="22"/>
                <w:szCs w:val="22"/>
              </w:rPr>
            </w:pPr>
            <w:r>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80,870.24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80,760.05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bCs/>
                <w:kern w:val="0"/>
                <w:sz w:val="22"/>
                <w:szCs w:val="22"/>
              </w:rPr>
            </w:pPr>
            <w:r>
              <w:rPr>
                <w:rFonts w:ascii="仿宋" w:eastAsia="仿宋" w:hAnsi="仿宋" w:cs="宋体" w:hint="eastAsia"/>
                <w:b/>
                <w:bCs/>
                <w:kern w:val="0"/>
                <w:sz w:val="22"/>
                <w:szCs w:val="22"/>
              </w:rPr>
              <w:t xml:space="preserve">110.19　</w:t>
            </w:r>
          </w:p>
        </w:tc>
      </w:tr>
      <w:tr w:rsidR="00C17F8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13,473.34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16,022.20</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15,852.18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170.02</w:t>
            </w:r>
          </w:p>
        </w:tc>
      </w:tr>
      <w:tr w:rsidR="00C17F8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13,289.13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r>
      <w:tr w:rsidR="00C17F8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184.21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r>
      <w:tr w:rsidR="00C17F8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　</w:t>
            </w:r>
          </w:p>
        </w:tc>
      </w:tr>
      <w:tr w:rsidR="00C17F88">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96,892.44</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kern w:val="0"/>
                <w:sz w:val="22"/>
                <w:szCs w:val="22"/>
              </w:rPr>
            </w:pPr>
            <w:r>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96,892.44</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96,612.23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280.21</w:t>
            </w:r>
          </w:p>
        </w:tc>
      </w:tr>
      <w:tr w:rsidR="00C17F88">
        <w:trPr>
          <w:trHeight w:val="585"/>
        </w:trPr>
        <w:tc>
          <w:tcPr>
            <w:tcW w:w="13875" w:type="dxa"/>
            <w:gridSpan w:val="10"/>
            <w:tcBorders>
              <w:top w:val="single" w:sz="8" w:space="0" w:color="auto"/>
              <w:left w:val="nil"/>
              <w:bottom w:val="nil"/>
              <w:right w:val="nil"/>
            </w:tcBorders>
            <w:shd w:val="clear" w:color="auto" w:fill="auto"/>
            <w:vAlign w:val="center"/>
          </w:tcPr>
          <w:p w:rsidR="00C17F88" w:rsidRDefault="00D87A9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17F88" w:rsidRDefault="00D87A9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14055" w:type="dxa"/>
        <w:tblInd w:w="93" w:type="dxa"/>
        <w:tblLook w:val="04A0" w:firstRow="1" w:lastRow="0" w:firstColumn="1" w:lastColumn="0" w:noHBand="0" w:noVBand="1"/>
      </w:tblPr>
      <w:tblGrid>
        <w:gridCol w:w="680"/>
        <w:gridCol w:w="760"/>
        <w:gridCol w:w="2175"/>
        <w:gridCol w:w="2405"/>
        <w:gridCol w:w="1960"/>
        <w:gridCol w:w="1935"/>
        <w:gridCol w:w="1800"/>
        <w:gridCol w:w="2340"/>
      </w:tblGrid>
      <w:tr w:rsidR="00C17F88">
        <w:trPr>
          <w:trHeight w:val="600"/>
        </w:trPr>
        <w:tc>
          <w:tcPr>
            <w:tcW w:w="14055" w:type="dxa"/>
            <w:gridSpan w:val="8"/>
            <w:tcBorders>
              <w:top w:val="nil"/>
              <w:left w:val="nil"/>
              <w:bottom w:val="nil"/>
              <w:right w:val="nil"/>
            </w:tcBorders>
            <w:shd w:val="clear" w:color="auto" w:fill="FFFFFF"/>
            <w:vAlign w:val="center"/>
          </w:tcPr>
          <w:p w:rsidR="00C17F88" w:rsidRDefault="00D87A9E">
            <w:pPr>
              <w:widowControl/>
              <w:spacing w:line="560" w:lineRule="exact"/>
              <w:jc w:val="center"/>
              <w:rPr>
                <w:rFonts w:ascii="仿宋" w:eastAsia="仿宋" w:hAnsi="仿宋" w:cs="宋体"/>
                <w:b/>
                <w:kern w:val="0"/>
                <w:sz w:val="32"/>
                <w:szCs w:val="32"/>
              </w:rPr>
            </w:pPr>
            <w:bookmarkStart w:id="2" w:name="RANGE!A1:H16"/>
            <w:r>
              <w:rPr>
                <w:rFonts w:ascii="仿宋" w:eastAsia="仿宋" w:hAnsi="仿宋" w:cs="宋体" w:hint="eastAsia"/>
                <w:b/>
                <w:kern w:val="0"/>
                <w:sz w:val="32"/>
                <w:szCs w:val="32"/>
              </w:rPr>
              <w:t>一般公共预算财政拨款支出决算表</w:t>
            </w:r>
            <w:bookmarkEnd w:id="2"/>
          </w:p>
        </w:tc>
      </w:tr>
      <w:tr w:rsidR="00C17F88">
        <w:trPr>
          <w:trHeight w:val="222"/>
        </w:trPr>
        <w:tc>
          <w:tcPr>
            <w:tcW w:w="680" w:type="dxa"/>
            <w:tcBorders>
              <w:top w:val="nil"/>
              <w:left w:val="nil"/>
              <w:bottom w:val="nil"/>
              <w:right w:val="nil"/>
            </w:tcBorders>
            <w:shd w:val="clear" w:color="auto" w:fill="FFFFFF"/>
            <w:vAlign w:val="center"/>
          </w:tcPr>
          <w:p w:rsidR="00C17F88" w:rsidRDefault="00D87A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17F88" w:rsidRDefault="00D87A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17F88" w:rsidRDefault="00D87A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公开05表</w:t>
            </w:r>
          </w:p>
        </w:tc>
      </w:tr>
      <w:tr w:rsidR="00C17F88">
        <w:trPr>
          <w:trHeight w:val="300"/>
        </w:trPr>
        <w:tc>
          <w:tcPr>
            <w:tcW w:w="1440" w:type="dxa"/>
            <w:gridSpan w:val="2"/>
            <w:tcBorders>
              <w:top w:val="nil"/>
              <w:left w:val="nil"/>
              <w:bottom w:val="nil"/>
              <w:right w:val="nil"/>
            </w:tcBorders>
            <w:shd w:val="clear" w:color="auto" w:fill="FFFFFF"/>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C17F88" w:rsidRDefault="00D87A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17F88">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r>
      <w:tr w:rsidR="00C17F88">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17F88" w:rsidRDefault="00C17F88">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17F88" w:rsidRDefault="00C17F88">
            <w:pPr>
              <w:widowControl/>
              <w:jc w:val="left"/>
              <w:rPr>
                <w:rFonts w:ascii="仿宋" w:eastAsia="仿宋" w:hAnsi="仿宋" w:cs="宋体"/>
                <w:b/>
                <w:kern w:val="0"/>
                <w:sz w:val="24"/>
                <w:szCs w:val="24"/>
              </w:rPr>
            </w:pPr>
          </w:p>
        </w:tc>
      </w:tr>
      <w:tr w:rsidR="00C17F88">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17F88" w:rsidRDefault="00C17F88">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17F88" w:rsidRDefault="00C17F88">
            <w:pPr>
              <w:widowControl/>
              <w:jc w:val="left"/>
              <w:rPr>
                <w:rFonts w:ascii="仿宋" w:eastAsia="仿宋" w:hAnsi="仿宋" w:cs="宋体"/>
                <w:b/>
                <w:kern w:val="0"/>
                <w:sz w:val="24"/>
                <w:szCs w:val="24"/>
              </w:rPr>
            </w:pPr>
          </w:p>
        </w:tc>
      </w:tr>
      <w:tr w:rsidR="00C17F88">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17F88" w:rsidRDefault="00C17F88">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17F88" w:rsidRDefault="00C17F88">
            <w:pPr>
              <w:widowControl/>
              <w:jc w:val="left"/>
              <w:rPr>
                <w:rFonts w:ascii="仿宋" w:eastAsia="仿宋" w:hAnsi="仿宋" w:cs="宋体"/>
                <w:b/>
                <w:kern w:val="0"/>
                <w:sz w:val="24"/>
                <w:szCs w:val="24"/>
              </w:rPr>
            </w:pPr>
          </w:p>
        </w:tc>
      </w:tr>
      <w:tr w:rsidR="00C17F88">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r>
      <w:tr w:rsidR="00C17F88">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80,760.05</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61,206.06</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55,442.62</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5,763.44</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19,553.99</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205</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教育支出</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80,760.05</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61,206.06</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55,442.62</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5,763.44</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19,553.99</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20501</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教育管理事务</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333.35</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333.35</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230.28</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103.07</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0.00</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2050101</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highlight w:val="yellow"/>
              </w:rPr>
            </w:pPr>
            <w:r>
              <w:rPr>
                <w:rFonts w:ascii="仿宋" w:eastAsia="仿宋" w:hAnsi="仿宋" w:cs="仿宋" w:hint="eastAsia"/>
                <w:b/>
                <w:bCs/>
                <w:color w:val="000000"/>
                <w:kern w:val="0"/>
                <w:sz w:val="22"/>
                <w:szCs w:val="22"/>
                <w:lang w:bidi="ar"/>
              </w:rPr>
              <w:t>行政运行</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333.35</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333.35</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230.28</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103.07</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0.00</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普通教育</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63,996.53</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55,965.69</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51,360.85</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4,604.84</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8,030.84</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2050201</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学前教育</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2,565.75</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2,307.67</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2,027.77</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279.90</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258.08</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2050202</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小学教育</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28,441.87</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28,437.87</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28,273.39</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164.48</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4.00</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2050203</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初中教育</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15,837.57</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15,560.62</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15,346.99</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213.63</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276.94</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2050204</w:t>
            </w:r>
          </w:p>
        </w:tc>
        <w:tc>
          <w:tcPr>
            <w:tcW w:w="2175" w:type="dxa"/>
            <w:tcBorders>
              <w:top w:val="nil"/>
              <w:left w:val="nil"/>
              <w:bottom w:val="single" w:sz="8"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高中教育</w:t>
            </w:r>
          </w:p>
        </w:tc>
        <w:tc>
          <w:tcPr>
            <w:tcW w:w="2405" w:type="dxa"/>
            <w:tcBorders>
              <w:top w:val="nil"/>
              <w:left w:val="nil"/>
              <w:bottom w:val="single" w:sz="8"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10,377.49</w:t>
            </w:r>
          </w:p>
        </w:tc>
        <w:tc>
          <w:tcPr>
            <w:tcW w:w="1960" w:type="dxa"/>
            <w:tcBorders>
              <w:top w:val="nil"/>
              <w:left w:val="nil"/>
              <w:bottom w:val="single" w:sz="8"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6,226.26</w:t>
            </w:r>
          </w:p>
        </w:tc>
        <w:tc>
          <w:tcPr>
            <w:tcW w:w="1935" w:type="dxa"/>
            <w:tcBorders>
              <w:top w:val="nil"/>
              <w:left w:val="nil"/>
              <w:bottom w:val="single" w:sz="8"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5,549.21</w:t>
            </w:r>
          </w:p>
        </w:tc>
        <w:tc>
          <w:tcPr>
            <w:tcW w:w="1800" w:type="dxa"/>
            <w:tcBorders>
              <w:top w:val="nil"/>
              <w:left w:val="single" w:sz="4" w:space="0" w:color="auto"/>
              <w:bottom w:val="single" w:sz="8"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677.05</w:t>
            </w:r>
          </w:p>
        </w:tc>
        <w:tc>
          <w:tcPr>
            <w:tcW w:w="2340" w:type="dxa"/>
            <w:tcBorders>
              <w:top w:val="nil"/>
              <w:left w:val="single" w:sz="4" w:space="0" w:color="auto"/>
              <w:bottom w:val="single" w:sz="8"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4,151.23</w:t>
            </w:r>
          </w:p>
        </w:tc>
      </w:tr>
      <w:tr w:rsidR="00C17F88">
        <w:trPr>
          <w:trHeight w:val="450"/>
        </w:trPr>
        <w:tc>
          <w:tcPr>
            <w:tcW w:w="14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lastRenderedPageBreak/>
              <w:t>2050299</w:t>
            </w:r>
          </w:p>
        </w:tc>
        <w:tc>
          <w:tcPr>
            <w:tcW w:w="2175" w:type="dxa"/>
            <w:tcBorders>
              <w:top w:val="single" w:sz="8" w:space="0" w:color="auto"/>
              <w:left w:val="single" w:sz="8" w:space="0" w:color="auto"/>
              <w:bottom w:val="single" w:sz="8" w:space="0" w:color="auto"/>
              <w:right w:val="single" w:sz="8"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其他普通教育支出</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6,773.86</w:t>
            </w:r>
          </w:p>
        </w:tc>
        <w:tc>
          <w:tcPr>
            <w:tcW w:w="1960" w:type="dxa"/>
            <w:tcBorders>
              <w:top w:val="single" w:sz="8" w:space="0" w:color="auto"/>
              <w:left w:val="single" w:sz="8" w:space="0" w:color="auto"/>
              <w:bottom w:val="single" w:sz="8"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3,433.27</w:t>
            </w:r>
          </w:p>
        </w:tc>
        <w:tc>
          <w:tcPr>
            <w:tcW w:w="1935" w:type="dxa"/>
            <w:tcBorders>
              <w:top w:val="single" w:sz="8" w:space="0" w:color="auto"/>
              <w:left w:val="single" w:sz="8" w:space="0" w:color="auto"/>
              <w:bottom w:val="single" w:sz="8"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163.48</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3,269.79</w:t>
            </w: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3,340.59</w:t>
            </w:r>
          </w:p>
        </w:tc>
      </w:tr>
      <w:tr w:rsidR="00C17F88">
        <w:trPr>
          <w:trHeight w:val="450"/>
        </w:trPr>
        <w:tc>
          <w:tcPr>
            <w:tcW w:w="144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20503</w:t>
            </w:r>
          </w:p>
        </w:tc>
        <w:tc>
          <w:tcPr>
            <w:tcW w:w="2175" w:type="dxa"/>
            <w:tcBorders>
              <w:top w:val="single" w:sz="8" w:space="0" w:color="auto"/>
              <w:left w:val="single" w:sz="8" w:space="0" w:color="auto"/>
              <w:bottom w:val="single" w:sz="8" w:space="0" w:color="auto"/>
              <w:right w:val="single" w:sz="8"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职业教育</w:t>
            </w:r>
          </w:p>
        </w:tc>
        <w:tc>
          <w:tcPr>
            <w:tcW w:w="2405" w:type="dxa"/>
            <w:tcBorders>
              <w:top w:val="single" w:sz="8" w:space="0" w:color="auto"/>
              <w:left w:val="single" w:sz="8" w:space="0" w:color="auto"/>
              <w:bottom w:val="single" w:sz="8"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1,864.00</w:t>
            </w:r>
          </w:p>
        </w:tc>
        <w:tc>
          <w:tcPr>
            <w:tcW w:w="1960" w:type="dxa"/>
            <w:tcBorders>
              <w:top w:val="single" w:sz="8" w:space="0" w:color="auto"/>
              <w:left w:val="single" w:sz="8" w:space="0" w:color="auto"/>
              <w:bottom w:val="single" w:sz="8"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1,695.81</w:t>
            </w:r>
          </w:p>
        </w:tc>
        <w:tc>
          <w:tcPr>
            <w:tcW w:w="1935" w:type="dxa"/>
            <w:tcBorders>
              <w:top w:val="single" w:sz="8" w:space="0" w:color="auto"/>
              <w:left w:val="single" w:sz="8" w:space="0" w:color="auto"/>
              <w:bottom w:val="single" w:sz="8"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1,488.17</w:t>
            </w:r>
          </w:p>
        </w:tc>
        <w:tc>
          <w:tcPr>
            <w:tcW w:w="1800" w:type="dxa"/>
            <w:tcBorders>
              <w:top w:val="single" w:sz="8" w:space="0" w:color="auto"/>
              <w:left w:val="single" w:sz="8" w:space="0" w:color="auto"/>
              <w:bottom w:val="single" w:sz="8"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207.64</w:t>
            </w:r>
          </w:p>
        </w:tc>
        <w:tc>
          <w:tcPr>
            <w:tcW w:w="2340" w:type="dxa"/>
            <w:tcBorders>
              <w:top w:val="single" w:sz="8" w:space="0" w:color="auto"/>
              <w:left w:val="single" w:sz="8" w:space="0" w:color="auto"/>
              <w:bottom w:val="single" w:sz="8"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168.19</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2050302</w:t>
            </w:r>
          </w:p>
        </w:tc>
        <w:tc>
          <w:tcPr>
            <w:tcW w:w="2175" w:type="dxa"/>
            <w:tcBorders>
              <w:top w:val="single" w:sz="8" w:space="0" w:color="auto"/>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中专教育</w:t>
            </w:r>
          </w:p>
        </w:tc>
        <w:tc>
          <w:tcPr>
            <w:tcW w:w="2405" w:type="dxa"/>
            <w:tcBorders>
              <w:top w:val="single" w:sz="8" w:space="0" w:color="auto"/>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256.56</w:t>
            </w:r>
          </w:p>
        </w:tc>
        <w:tc>
          <w:tcPr>
            <w:tcW w:w="1960" w:type="dxa"/>
            <w:tcBorders>
              <w:top w:val="single" w:sz="8" w:space="0" w:color="auto"/>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88.37</w:t>
            </w:r>
          </w:p>
        </w:tc>
        <w:tc>
          <w:tcPr>
            <w:tcW w:w="1935" w:type="dxa"/>
            <w:tcBorders>
              <w:top w:val="single" w:sz="8" w:space="0" w:color="auto"/>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13.17</w:t>
            </w:r>
          </w:p>
        </w:tc>
        <w:tc>
          <w:tcPr>
            <w:tcW w:w="1800" w:type="dxa"/>
            <w:tcBorders>
              <w:top w:val="single" w:sz="8" w:space="0" w:color="auto"/>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75.19</w:t>
            </w:r>
          </w:p>
        </w:tc>
        <w:tc>
          <w:tcPr>
            <w:tcW w:w="2340" w:type="dxa"/>
            <w:tcBorders>
              <w:top w:val="single" w:sz="8" w:space="0" w:color="auto"/>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168.19</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2050304</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职业高中教育</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1,607.44</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1,607.44</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1,475.00</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132.44</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0.00</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20507</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特殊教育</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683.16</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655.81</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604.53</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51.27</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27.36</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2050701</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特殊学校教育</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683.16</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655.81</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604.53</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51.27</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27.36</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20508</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进修及培训</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1,117.56</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1,117.56</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1,047.47</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70.08</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0.00</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2050801</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教师进修</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1,117.56</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1,117.56</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1,047.47</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70.08</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0.00</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20509</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教育费附加安排的支出</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9,830.66</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598.90</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598.90</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9,231.76</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2050999</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其他教育费附加安排的支出</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9,830.66</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598.90</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0.00</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598.90</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9,231.76</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20599</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其他教育支出</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2,934.79</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838.94</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711.31</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127.63</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2,095.85</w:t>
            </w:r>
          </w:p>
        </w:tc>
      </w:tr>
      <w:tr w:rsidR="00C17F88">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2059999</w:t>
            </w:r>
          </w:p>
        </w:tc>
        <w:tc>
          <w:tcPr>
            <w:tcW w:w="21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其他教育支出</w:t>
            </w:r>
          </w:p>
        </w:tc>
        <w:tc>
          <w:tcPr>
            <w:tcW w:w="24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2,934.79</w:t>
            </w:r>
          </w:p>
        </w:tc>
        <w:tc>
          <w:tcPr>
            <w:tcW w:w="19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838.94</w:t>
            </w:r>
          </w:p>
        </w:tc>
        <w:tc>
          <w:tcPr>
            <w:tcW w:w="1935" w:type="dxa"/>
            <w:tcBorders>
              <w:top w:val="nil"/>
              <w:left w:val="nil"/>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711.31</w:t>
            </w:r>
          </w:p>
        </w:tc>
        <w:tc>
          <w:tcPr>
            <w:tcW w:w="180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127.63</w:t>
            </w:r>
          </w:p>
        </w:tc>
        <w:tc>
          <w:tcPr>
            <w:tcW w:w="2340"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textAlignment w:val="center"/>
              <w:rPr>
                <w:rFonts w:ascii="仿宋" w:eastAsia="仿宋" w:hAnsi="仿宋" w:cs="仿宋"/>
                <w:b/>
                <w:bCs/>
                <w:kern w:val="0"/>
                <w:sz w:val="22"/>
                <w:szCs w:val="22"/>
              </w:rPr>
            </w:pPr>
            <w:r>
              <w:rPr>
                <w:rFonts w:ascii="仿宋" w:eastAsia="仿宋" w:hAnsi="仿宋" w:cs="仿宋" w:hint="eastAsia"/>
                <w:b/>
                <w:bCs/>
                <w:color w:val="000000"/>
                <w:kern w:val="0"/>
                <w:sz w:val="22"/>
                <w:szCs w:val="22"/>
                <w:lang w:bidi="ar"/>
              </w:rPr>
              <w:t>2,095.85</w:t>
            </w:r>
          </w:p>
        </w:tc>
      </w:tr>
      <w:tr w:rsidR="00C17F88">
        <w:trPr>
          <w:trHeight w:val="645"/>
        </w:trPr>
        <w:tc>
          <w:tcPr>
            <w:tcW w:w="14055" w:type="dxa"/>
            <w:gridSpan w:val="8"/>
            <w:tcBorders>
              <w:top w:val="single" w:sz="8" w:space="0" w:color="auto"/>
              <w:left w:val="nil"/>
              <w:bottom w:val="nil"/>
              <w:right w:val="nil"/>
            </w:tcBorders>
            <w:shd w:val="clear" w:color="auto" w:fill="auto"/>
            <w:vAlign w:val="center"/>
          </w:tcPr>
          <w:p w:rsidR="00C17F88" w:rsidRDefault="00D87A9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注：本表反映部门本年度一般公共预算财政拨款实际支出情况。</w:t>
            </w:r>
          </w:p>
        </w:tc>
      </w:tr>
    </w:tbl>
    <w:p w:rsidR="00C17F88" w:rsidRDefault="00D87A9E">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4A0" w:firstRow="1" w:lastRow="0" w:firstColumn="1" w:lastColumn="0" w:noHBand="0" w:noVBand="1"/>
      </w:tblPr>
      <w:tblGrid>
        <w:gridCol w:w="720"/>
        <w:gridCol w:w="3100"/>
        <w:gridCol w:w="1300"/>
        <w:gridCol w:w="720"/>
        <w:gridCol w:w="2200"/>
        <w:gridCol w:w="1300"/>
        <w:gridCol w:w="720"/>
        <w:gridCol w:w="2567"/>
        <w:gridCol w:w="1440"/>
      </w:tblGrid>
      <w:tr w:rsidR="00C17F88">
        <w:trPr>
          <w:trHeight w:val="480"/>
        </w:trPr>
        <w:tc>
          <w:tcPr>
            <w:tcW w:w="14067" w:type="dxa"/>
            <w:gridSpan w:val="9"/>
            <w:tcBorders>
              <w:top w:val="nil"/>
              <w:left w:val="nil"/>
              <w:bottom w:val="nil"/>
              <w:right w:val="nil"/>
            </w:tcBorders>
            <w:shd w:val="clear" w:color="auto" w:fill="FFFFFF"/>
            <w:vAlign w:val="center"/>
          </w:tcPr>
          <w:p w:rsidR="00C17F88" w:rsidRDefault="00D87A9E">
            <w:pPr>
              <w:widowControl/>
              <w:spacing w:line="560" w:lineRule="exact"/>
              <w:jc w:val="center"/>
              <w:rPr>
                <w:rFonts w:ascii="仿宋" w:eastAsia="仿宋" w:hAnsi="仿宋" w:cs="宋体"/>
                <w:b/>
                <w:kern w:val="0"/>
                <w:sz w:val="32"/>
                <w:szCs w:val="32"/>
              </w:rPr>
            </w:pPr>
            <w:bookmarkStart w:id="3" w:name="RANGE!A1:I36"/>
            <w:r>
              <w:rPr>
                <w:rFonts w:ascii="仿宋" w:eastAsia="仿宋" w:hAnsi="仿宋" w:cs="宋体" w:hint="eastAsia"/>
                <w:b/>
                <w:kern w:val="0"/>
                <w:sz w:val="32"/>
                <w:szCs w:val="32"/>
              </w:rPr>
              <w:t>一般公共预算财政拨款基本支出决算表</w:t>
            </w:r>
            <w:bookmarkEnd w:id="3"/>
          </w:p>
        </w:tc>
      </w:tr>
      <w:tr w:rsidR="00C17F88">
        <w:trPr>
          <w:trHeight w:val="222"/>
        </w:trPr>
        <w:tc>
          <w:tcPr>
            <w:tcW w:w="720" w:type="dxa"/>
            <w:tcBorders>
              <w:top w:val="nil"/>
              <w:left w:val="nil"/>
              <w:bottom w:val="nil"/>
              <w:right w:val="nil"/>
            </w:tcBorders>
            <w:shd w:val="clear" w:color="auto" w:fill="FFFFFF"/>
            <w:vAlign w:val="center"/>
          </w:tcPr>
          <w:p w:rsidR="00C17F88" w:rsidRDefault="00D87A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17F88" w:rsidRDefault="00D87A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17F88" w:rsidRDefault="00D87A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公开06表</w:t>
            </w:r>
          </w:p>
        </w:tc>
      </w:tr>
      <w:tr w:rsidR="00C17F88">
        <w:trPr>
          <w:trHeight w:val="300"/>
        </w:trPr>
        <w:tc>
          <w:tcPr>
            <w:tcW w:w="720" w:type="dxa"/>
            <w:tcBorders>
              <w:top w:val="nil"/>
              <w:left w:val="nil"/>
              <w:bottom w:val="nil"/>
              <w:right w:val="nil"/>
            </w:tcBorders>
            <w:shd w:val="clear" w:color="auto" w:fill="FFFFFF"/>
            <w:noWrap/>
            <w:vAlign w:val="center"/>
          </w:tcPr>
          <w:p w:rsidR="00C17F88" w:rsidRDefault="00D87A9E">
            <w:pPr>
              <w:widowControl/>
              <w:jc w:val="left"/>
              <w:rPr>
                <w:rFonts w:ascii="仿宋" w:eastAsia="仿宋" w:hAnsi="仿宋" w:cs="Arial"/>
                <w:b/>
                <w:color w:val="000000"/>
                <w:kern w:val="0"/>
                <w:sz w:val="20"/>
              </w:rPr>
            </w:pPr>
            <w:r>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C17F88" w:rsidRDefault="00C17F88">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C17F88" w:rsidRDefault="00C17F88">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C17F88" w:rsidRDefault="00C17F88">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C17F88" w:rsidRDefault="00C17F88">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C17F88" w:rsidRDefault="00C17F88">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C17F88" w:rsidRDefault="00C17F88">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C17F88" w:rsidRDefault="00C17F88">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17F88">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C17F88" w:rsidRDefault="00D87A9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C17F88" w:rsidRDefault="00D87A9E">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科目名称</w:t>
            </w:r>
          </w:p>
        </w:tc>
      </w:tr>
      <w:tr w:rsidR="00C17F88">
        <w:trPr>
          <w:trHeight w:val="259"/>
        </w:trPr>
        <w:tc>
          <w:tcPr>
            <w:tcW w:w="720" w:type="dxa"/>
            <w:tcBorders>
              <w:top w:val="nil"/>
              <w:left w:val="single" w:sz="8" w:space="0" w:color="auto"/>
              <w:bottom w:val="single" w:sz="4" w:space="0" w:color="auto"/>
              <w:right w:val="single" w:sz="4" w:space="0" w:color="auto"/>
            </w:tcBorders>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C17F88" w:rsidRDefault="00D87A9E">
            <w:pPr>
              <w:widowControl/>
              <w:jc w:val="right"/>
              <w:rPr>
                <w:rFonts w:ascii="仿宋" w:eastAsia="仿宋" w:hAnsi="仿宋" w:cs="宋体"/>
                <w:b/>
                <w:color w:val="000000"/>
                <w:kern w:val="0"/>
                <w:sz w:val="20"/>
                <w:szCs w:val="22"/>
              </w:rPr>
            </w:pPr>
            <w:r>
              <w:rPr>
                <w:rFonts w:ascii="仿宋" w:eastAsia="仿宋" w:hAnsi="仿宋" w:cs="宋体" w:hint="eastAsia"/>
                <w:b/>
                <w:color w:val="000000"/>
                <w:kern w:val="0"/>
                <w:sz w:val="20"/>
                <w:szCs w:val="22"/>
              </w:rPr>
              <w:t xml:space="preserve">  50068.66</w:t>
            </w:r>
          </w:p>
        </w:tc>
        <w:tc>
          <w:tcPr>
            <w:tcW w:w="720" w:type="dxa"/>
            <w:tcBorders>
              <w:top w:val="nil"/>
              <w:left w:val="single" w:sz="4" w:space="0" w:color="auto"/>
              <w:bottom w:val="single" w:sz="4" w:space="0" w:color="auto"/>
              <w:right w:val="single" w:sz="4" w:space="0" w:color="auto"/>
            </w:tcBorders>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5,333.90</w:t>
            </w:r>
          </w:p>
        </w:tc>
        <w:tc>
          <w:tcPr>
            <w:tcW w:w="720" w:type="dxa"/>
            <w:tcBorders>
              <w:top w:val="nil"/>
              <w:left w:val="single" w:sz="4" w:space="0" w:color="auto"/>
              <w:bottom w:val="single" w:sz="4" w:space="0" w:color="auto"/>
              <w:right w:val="single" w:sz="4" w:space="0" w:color="auto"/>
            </w:tcBorders>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C17F88" w:rsidRDefault="00D87A9E">
            <w:pPr>
              <w:widowControl/>
              <w:jc w:val="right"/>
              <w:rPr>
                <w:rFonts w:ascii="仿宋" w:eastAsia="仿宋" w:hAnsi="仿宋" w:cs="宋体"/>
                <w:b/>
                <w:color w:val="000000"/>
                <w:kern w:val="0"/>
                <w:sz w:val="20"/>
                <w:szCs w:val="22"/>
              </w:rPr>
            </w:pPr>
            <w:r>
              <w:rPr>
                <w:rFonts w:ascii="仿宋" w:eastAsia="仿宋" w:hAnsi="仿宋" w:cs="宋体" w:hint="eastAsia"/>
                <w:b/>
                <w:color w:val="000000"/>
                <w:kern w:val="0"/>
                <w:sz w:val="20"/>
                <w:szCs w:val="22"/>
              </w:rPr>
              <w:t xml:space="preserve">  411.28</w:t>
            </w:r>
          </w:p>
        </w:tc>
      </w:tr>
      <w:tr w:rsidR="00C17F88">
        <w:trPr>
          <w:trHeight w:val="312"/>
        </w:trPr>
        <w:tc>
          <w:tcPr>
            <w:tcW w:w="720" w:type="dxa"/>
            <w:tcBorders>
              <w:top w:val="nil"/>
              <w:left w:val="single" w:sz="8" w:space="0" w:color="auto"/>
              <w:bottom w:val="single" w:sz="4" w:space="0" w:color="auto"/>
              <w:right w:val="single" w:sz="4" w:space="0" w:color="auto"/>
            </w:tcBorders>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C17F88" w:rsidRDefault="00D87A9E">
            <w:pPr>
              <w:widowControl/>
              <w:jc w:val="right"/>
              <w:rPr>
                <w:rFonts w:ascii="仿宋" w:eastAsia="仿宋" w:hAnsi="仿宋" w:cs="宋体"/>
                <w:b/>
                <w:color w:val="000000"/>
                <w:kern w:val="0"/>
                <w:sz w:val="20"/>
                <w:szCs w:val="22"/>
              </w:rPr>
            </w:pPr>
            <w:r>
              <w:rPr>
                <w:rFonts w:ascii="仿宋" w:eastAsia="仿宋" w:hAnsi="仿宋" w:cs="宋体" w:hint="eastAsia"/>
                <w:b/>
                <w:color w:val="000000"/>
                <w:kern w:val="0"/>
                <w:sz w:val="20"/>
                <w:szCs w:val="22"/>
              </w:rPr>
              <w:t xml:space="preserve">  22954.01</w:t>
            </w:r>
          </w:p>
        </w:tc>
        <w:tc>
          <w:tcPr>
            <w:tcW w:w="720" w:type="dxa"/>
            <w:tcBorders>
              <w:top w:val="nil"/>
              <w:left w:val="single" w:sz="4" w:space="0" w:color="auto"/>
              <w:bottom w:val="single" w:sz="4" w:space="0" w:color="auto"/>
              <w:right w:val="single" w:sz="4" w:space="0" w:color="auto"/>
            </w:tcBorders>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1,747.83</w:t>
            </w:r>
          </w:p>
        </w:tc>
        <w:tc>
          <w:tcPr>
            <w:tcW w:w="720" w:type="dxa"/>
            <w:tcBorders>
              <w:top w:val="nil"/>
              <w:left w:val="single" w:sz="4" w:space="0" w:color="auto"/>
              <w:bottom w:val="single" w:sz="4" w:space="0" w:color="auto"/>
              <w:right w:val="single" w:sz="4" w:space="0" w:color="auto"/>
            </w:tcBorders>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C17F88" w:rsidRDefault="00D87A9E">
            <w:pPr>
              <w:widowControl/>
              <w:jc w:val="right"/>
              <w:rPr>
                <w:rFonts w:ascii="仿宋" w:eastAsia="仿宋" w:hAnsi="仿宋" w:cs="宋体"/>
                <w:b/>
                <w:color w:val="000000"/>
                <w:kern w:val="0"/>
                <w:sz w:val="20"/>
                <w:szCs w:val="22"/>
              </w:rPr>
            </w:pPr>
            <w:r>
              <w:rPr>
                <w:rFonts w:ascii="仿宋" w:eastAsia="仿宋" w:hAnsi="仿宋" w:cs="宋体" w:hint="eastAsia"/>
                <w:b/>
                <w:color w:val="000000"/>
                <w:kern w:val="0"/>
                <w:sz w:val="20"/>
                <w:szCs w:val="22"/>
              </w:rPr>
              <w:t xml:space="preserve"> 0.00 </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1,104.55</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111.74</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363.94</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1,717.28</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15.56</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37.18</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7.66</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13168.24</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118.46</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4,794.77</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238.04</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4.55</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158.65</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2,220.72</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858.16</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37.03</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218.43</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171.56</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3,777.99</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639.28</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112.67</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24.64</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5,373.97</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4.59</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313.57</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3,947.81</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5.61</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33.65</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607.26</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8"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30305</w:t>
            </w:r>
          </w:p>
        </w:tc>
        <w:tc>
          <w:tcPr>
            <w:tcW w:w="3100"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生活补助</w:t>
            </w:r>
          </w:p>
        </w:tc>
        <w:tc>
          <w:tcPr>
            <w:tcW w:w="1300"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207.12</w:t>
            </w:r>
          </w:p>
        </w:tc>
        <w:tc>
          <w:tcPr>
            <w:tcW w:w="720"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30225</w:t>
            </w:r>
          </w:p>
        </w:tc>
        <w:tc>
          <w:tcPr>
            <w:tcW w:w="2200"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专用燃料费</w:t>
            </w:r>
          </w:p>
        </w:tc>
        <w:tc>
          <w:tcPr>
            <w:tcW w:w="1300"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31203</w:t>
            </w:r>
          </w:p>
        </w:tc>
        <w:tc>
          <w:tcPr>
            <w:tcW w:w="2567"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8"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lastRenderedPageBreak/>
              <w:t>30306</w:t>
            </w:r>
          </w:p>
        </w:tc>
        <w:tc>
          <w:tcPr>
            <w:tcW w:w="31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救济费</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30226</w:t>
            </w:r>
          </w:p>
        </w:tc>
        <w:tc>
          <w:tcPr>
            <w:tcW w:w="22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劳务费</w:t>
            </w:r>
          </w:p>
        </w:tc>
        <w:tc>
          <w:tcPr>
            <w:tcW w:w="130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595.18</w:t>
            </w:r>
          </w:p>
        </w:tc>
        <w:tc>
          <w:tcPr>
            <w:tcW w:w="7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31204</w:t>
            </w:r>
          </w:p>
        </w:tc>
        <w:tc>
          <w:tcPr>
            <w:tcW w:w="2567"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费用补贴</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30307</w:t>
            </w:r>
          </w:p>
        </w:tc>
        <w:tc>
          <w:tcPr>
            <w:tcW w:w="3100" w:type="dxa"/>
            <w:tcBorders>
              <w:top w:val="single" w:sz="8" w:space="0" w:color="auto"/>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医疗费补助</w:t>
            </w:r>
          </w:p>
        </w:tc>
        <w:tc>
          <w:tcPr>
            <w:tcW w:w="1300" w:type="dxa"/>
            <w:tcBorders>
              <w:top w:val="single" w:sz="8" w:space="0" w:color="auto"/>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0.01</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30227</w:t>
            </w:r>
          </w:p>
        </w:tc>
        <w:tc>
          <w:tcPr>
            <w:tcW w:w="2200" w:type="dxa"/>
            <w:tcBorders>
              <w:top w:val="single" w:sz="8" w:space="0" w:color="auto"/>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委托业务费</w:t>
            </w:r>
          </w:p>
        </w:tc>
        <w:tc>
          <w:tcPr>
            <w:tcW w:w="1300" w:type="dxa"/>
            <w:tcBorders>
              <w:top w:val="single" w:sz="8" w:space="0" w:color="auto"/>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8.52</w:t>
            </w:r>
          </w:p>
        </w:tc>
        <w:tc>
          <w:tcPr>
            <w:tcW w:w="720" w:type="dxa"/>
            <w:tcBorders>
              <w:top w:val="single" w:sz="8" w:space="0" w:color="auto"/>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31205</w:t>
            </w:r>
          </w:p>
        </w:tc>
        <w:tc>
          <w:tcPr>
            <w:tcW w:w="2567" w:type="dxa"/>
            <w:tcBorders>
              <w:top w:val="single" w:sz="8" w:space="0" w:color="auto"/>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利息补贴</w:t>
            </w:r>
          </w:p>
        </w:tc>
        <w:tc>
          <w:tcPr>
            <w:tcW w:w="1440" w:type="dxa"/>
            <w:tcBorders>
              <w:top w:val="single" w:sz="8" w:space="0" w:color="auto"/>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543.69</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5.47</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9.38</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4.00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58.70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23.40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1.12</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18.25</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215.81</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18.25</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C17F88">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0.00</w:t>
            </w: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C17F88">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color w:val="000000"/>
                <w:kern w:val="0"/>
                <w:sz w:val="20"/>
              </w:rPr>
            </w:pPr>
          </w:p>
        </w:tc>
      </w:tr>
      <w:tr w:rsidR="00C17F88">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C17F88" w:rsidRDefault="00C17F88">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C17F88" w:rsidRDefault="00C17F88">
            <w:pPr>
              <w:widowControl/>
              <w:jc w:val="righ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0.00</w:t>
            </w:r>
          </w:p>
        </w:tc>
        <w:tc>
          <w:tcPr>
            <w:tcW w:w="720"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18"/>
                <w:szCs w:val="18"/>
              </w:rPr>
            </w:pPr>
            <w:r>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C17F88" w:rsidRDefault="00C17F88">
            <w:pPr>
              <w:widowControl/>
              <w:jc w:val="right"/>
              <w:rPr>
                <w:rFonts w:ascii="仿宋" w:eastAsia="仿宋" w:hAnsi="仿宋" w:cs="宋体"/>
                <w:b/>
                <w:color w:val="000000"/>
                <w:kern w:val="0"/>
                <w:sz w:val="20"/>
              </w:rPr>
            </w:pPr>
          </w:p>
        </w:tc>
      </w:tr>
      <w:tr w:rsidR="00C17F88">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 xml:space="preserve">　55442.62</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5763.44</w:t>
            </w:r>
          </w:p>
        </w:tc>
      </w:tr>
      <w:tr w:rsidR="00C17F88">
        <w:trPr>
          <w:trHeight w:val="379"/>
        </w:trPr>
        <w:tc>
          <w:tcPr>
            <w:tcW w:w="9340" w:type="dxa"/>
            <w:gridSpan w:val="6"/>
            <w:tcBorders>
              <w:top w:val="single" w:sz="8" w:space="0" w:color="auto"/>
              <w:left w:val="nil"/>
              <w:bottom w:val="nil"/>
              <w:right w:val="nil"/>
            </w:tcBorders>
            <w:shd w:val="clear" w:color="auto" w:fill="auto"/>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r>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 xml:space="preserve">　</w:t>
            </w:r>
          </w:p>
        </w:tc>
      </w:tr>
    </w:tbl>
    <w:p w:rsidR="00C17F88" w:rsidRDefault="00C17F88">
      <w:pPr>
        <w:widowControl/>
        <w:jc w:val="left"/>
        <w:rPr>
          <w:rFonts w:ascii="仿宋" w:eastAsia="仿宋" w:hAnsi="仿宋" w:cs="宋体"/>
          <w:b/>
          <w:kern w:val="0"/>
          <w:sz w:val="24"/>
          <w:szCs w:val="24"/>
        </w:rPr>
      </w:pPr>
    </w:p>
    <w:p w:rsidR="00C17F88" w:rsidRDefault="00D87A9E">
      <w:r>
        <w:br w:type="page"/>
      </w:r>
    </w:p>
    <w:p w:rsidR="00C17F88" w:rsidRDefault="00D87A9E" w:rsidP="00FC6C46">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4A0" w:firstRow="1" w:lastRow="0" w:firstColumn="1" w:lastColumn="0" w:noHBand="0" w:noVBand="1"/>
      </w:tblPr>
      <w:tblGrid>
        <w:gridCol w:w="1548"/>
        <w:gridCol w:w="1151"/>
        <w:gridCol w:w="1091"/>
        <w:gridCol w:w="1091"/>
        <w:gridCol w:w="1091"/>
        <w:gridCol w:w="1029"/>
        <w:gridCol w:w="1152"/>
        <w:gridCol w:w="1170"/>
        <w:gridCol w:w="1141"/>
        <w:gridCol w:w="1158"/>
        <w:gridCol w:w="896"/>
        <w:gridCol w:w="272"/>
        <w:gridCol w:w="1291"/>
      </w:tblGrid>
      <w:tr w:rsidR="00C17F88">
        <w:trPr>
          <w:trHeight w:val="600"/>
        </w:trPr>
        <w:tc>
          <w:tcPr>
            <w:tcW w:w="14055" w:type="dxa"/>
            <w:gridSpan w:val="13"/>
            <w:tcBorders>
              <w:top w:val="nil"/>
              <w:left w:val="nil"/>
              <w:bottom w:val="nil"/>
              <w:right w:val="nil"/>
            </w:tcBorders>
            <w:shd w:val="clear" w:color="auto" w:fill="FFFFFF"/>
            <w:vAlign w:val="center"/>
          </w:tcPr>
          <w:p w:rsidR="00C17F88" w:rsidRDefault="00D87A9E">
            <w:pPr>
              <w:widowControl/>
              <w:jc w:val="center"/>
              <w:rPr>
                <w:rFonts w:ascii="仿宋" w:eastAsia="仿宋" w:hAnsi="仿宋" w:cs="宋体"/>
                <w:b/>
                <w:kern w:val="0"/>
                <w:sz w:val="32"/>
                <w:szCs w:val="32"/>
              </w:rPr>
            </w:pPr>
            <w:bookmarkStart w:id="4" w:name="RANGE!A1:L9"/>
            <w:r>
              <w:rPr>
                <w:rFonts w:ascii="仿宋" w:eastAsia="仿宋" w:hAnsi="仿宋" w:cs="宋体" w:hint="eastAsia"/>
                <w:b/>
                <w:kern w:val="0"/>
                <w:sz w:val="32"/>
                <w:szCs w:val="32"/>
              </w:rPr>
              <w:t>一般公共预算财政拨款“三公”经费支出决算表</w:t>
            </w:r>
            <w:bookmarkEnd w:id="4"/>
          </w:p>
        </w:tc>
      </w:tr>
      <w:tr w:rsidR="00C17F88">
        <w:trPr>
          <w:trHeight w:val="222"/>
        </w:trPr>
        <w:tc>
          <w:tcPr>
            <w:tcW w:w="127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公开07表</w:t>
            </w:r>
          </w:p>
        </w:tc>
      </w:tr>
      <w:tr w:rsidR="00C17F88">
        <w:trPr>
          <w:trHeight w:val="300"/>
        </w:trPr>
        <w:tc>
          <w:tcPr>
            <w:tcW w:w="1275" w:type="dxa"/>
            <w:tcBorders>
              <w:top w:val="nil"/>
              <w:left w:val="nil"/>
              <w:bottom w:val="nil"/>
              <w:right w:val="nil"/>
            </w:tcBorders>
            <w:shd w:val="clear" w:color="auto" w:fill="FFFFFF"/>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17F88">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2019年度决算数</w:t>
            </w:r>
          </w:p>
        </w:tc>
      </w:tr>
      <w:tr w:rsidR="00C17F88">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公务接待费</w:t>
            </w:r>
          </w:p>
        </w:tc>
      </w:tr>
      <w:tr w:rsidR="00C17F88">
        <w:trPr>
          <w:trHeight w:val="810"/>
        </w:trPr>
        <w:tc>
          <w:tcPr>
            <w:tcW w:w="1275" w:type="dxa"/>
            <w:vMerge/>
            <w:tcBorders>
              <w:top w:val="nil"/>
              <w:left w:val="single" w:sz="8"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公务用车</w:t>
            </w:r>
            <w:r>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C17F88" w:rsidRDefault="00C17F88">
            <w:pPr>
              <w:widowControl/>
              <w:jc w:val="left"/>
              <w:rPr>
                <w:rFonts w:ascii="仿宋" w:eastAsia="仿宋" w:hAnsi="仿宋" w:cs="宋体"/>
                <w:b/>
                <w:kern w:val="0"/>
                <w:sz w:val="22"/>
                <w:szCs w:val="22"/>
              </w:rPr>
            </w:pPr>
          </w:p>
        </w:tc>
      </w:tr>
      <w:tr w:rsidR="00C17F88">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C17F88" w:rsidRDefault="00D87A9E">
            <w:pPr>
              <w:widowControl/>
              <w:jc w:val="center"/>
              <w:rPr>
                <w:rFonts w:ascii="仿宋" w:eastAsia="仿宋" w:hAnsi="仿宋" w:cs="宋体"/>
                <w:b/>
                <w:kern w:val="0"/>
                <w:sz w:val="22"/>
                <w:szCs w:val="22"/>
              </w:rPr>
            </w:pPr>
            <w:r>
              <w:rPr>
                <w:rFonts w:ascii="仿宋" w:eastAsia="仿宋" w:hAnsi="仿宋" w:cs="宋体" w:hint="eastAsia"/>
                <w:b/>
                <w:kern w:val="0"/>
                <w:sz w:val="22"/>
                <w:szCs w:val="22"/>
              </w:rPr>
              <w:t>12</w:t>
            </w:r>
          </w:p>
        </w:tc>
      </w:tr>
      <w:tr w:rsidR="00C17F88">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4.00　</w:t>
            </w:r>
          </w:p>
        </w:tc>
        <w:tc>
          <w:tcPr>
            <w:tcW w:w="1045" w:type="dxa"/>
            <w:tcBorders>
              <w:top w:val="nil"/>
              <w:left w:val="nil"/>
              <w:bottom w:val="single" w:sz="8"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0.00　</w:t>
            </w:r>
          </w:p>
        </w:tc>
        <w:tc>
          <w:tcPr>
            <w:tcW w:w="1160" w:type="dxa"/>
            <w:tcBorders>
              <w:top w:val="nil"/>
              <w:left w:val="nil"/>
              <w:bottom w:val="single" w:sz="8"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4.00　</w:t>
            </w:r>
          </w:p>
        </w:tc>
        <w:tc>
          <w:tcPr>
            <w:tcW w:w="1160" w:type="dxa"/>
            <w:tcBorders>
              <w:top w:val="nil"/>
              <w:left w:val="nil"/>
              <w:bottom w:val="single" w:sz="8"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0.00　</w:t>
            </w:r>
          </w:p>
        </w:tc>
        <w:tc>
          <w:tcPr>
            <w:tcW w:w="1160" w:type="dxa"/>
            <w:tcBorders>
              <w:top w:val="nil"/>
              <w:left w:val="nil"/>
              <w:bottom w:val="single" w:sz="8"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4.00　</w:t>
            </w:r>
          </w:p>
        </w:tc>
        <w:tc>
          <w:tcPr>
            <w:tcW w:w="1055" w:type="dxa"/>
            <w:tcBorders>
              <w:top w:val="nil"/>
              <w:left w:val="nil"/>
              <w:bottom w:val="single" w:sz="8"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0.00　</w:t>
            </w:r>
          </w:p>
        </w:tc>
        <w:tc>
          <w:tcPr>
            <w:tcW w:w="1265" w:type="dxa"/>
            <w:tcBorders>
              <w:top w:val="nil"/>
              <w:left w:val="nil"/>
              <w:bottom w:val="single" w:sz="8"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4.00　</w:t>
            </w:r>
          </w:p>
        </w:tc>
        <w:tc>
          <w:tcPr>
            <w:tcW w:w="1075" w:type="dxa"/>
            <w:tcBorders>
              <w:top w:val="nil"/>
              <w:left w:val="nil"/>
              <w:bottom w:val="single" w:sz="8"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0.00　</w:t>
            </w:r>
          </w:p>
        </w:tc>
        <w:tc>
          <w:tcPr>
            <w:tcW w:w="1245" w:type="dxa"/>
            <w:tcBorders>
              <w:top w:val="nil"/>
              <w:left w:val="nil"/>
              <w:bottom w:val="single" w:sz="8"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4.00　</w:t>
            </w:r>
          </w:p>
        </w:tc>
        <w:tc>
          <w:tcPr>
            <w:tcW w:w="1275" w:type="dxa"/>
            <w:tcBorders>
              <w:top w:val="nil"/>
              <w:left w:val="nil"/>
              <w:bottom w:val="single" w:sz="8"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0.00　</w:t>
            </w:r>
          </w:p>
        </w:tc>
        <w:tc>
          <w:tcPr>
            <w:tcW w:w="1260" w:type="dxa"/>
            <w:gridSpan w:val="2"/>
            <w:tcBorders>
              <w:top w:val="nil"/>
              <w:left w:val="nil"/>
              <w:bottom w:val="single" w:sz="8" w:space="0" w:color="auto"/>
              <w:right w:val="nil"/>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4.00　</w:t>
            </w:r>
          </w:p>
        </w:tc>
        <w:tc>
          <w:tcPr>
            <w:tcW w:w="1080" w:type="dxa"/>
            <w:tcBorders>
              <w:top w:val="nil"/>
              <w:left w:val="single" w:sz="4" w:space="0" w:color="auto"/>
              <w:bottom w:val="single" w:sz="8" w:space="0" w:color="auto"/>
              <w:right w:val="single" w:sz="8"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0.00　</w:t>
            </w:r>
          </w:p>
        </w:tc>
      </w:tr>
      <w:tr w:rsidR="00C17F88">
        <w:trPr>
          <w:trHeight w:val="900"/>
        </w:trPr>
        <w:tc>
          <w:tcPr>
            <w:tcW w:w="14055" w:type="dxa"/>
            <w:gridSpan w:val="13"/>
            <w:tcBorders>
              <w:top w:val="single" w:sz="8" w:space="0" w:color="auto"/>
              <w:left w:val="nil"/>
              <w:bottom w:val="nil"/>
              <w:right w:val="nil"/>
            </w:tcBorders>
            <w:shd w:val="clear" w:color="auto" w:fill="auto"/>
            <w:vAlign w:val="center"/>
          </w:tcPr>
          <w:p w:rsidR="00C17F88" w:rsidRDefault="00D87A9E">
            <w:pPr>
              <w:widowControl/>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注：本表反映部门本年度“三公”经费支出预决算情况。其中，2019年度预算数为“三公”经费年初预算数，决算数是包括当年一般公共预算财政拨款和以前年度结转资金安排的实际支出。</w:t>
            </w:r>
          </w:p>
          <w:p w:rsidR="00C17F88" w:rsidRDefault="00D87A9E">
            <w:r>
              <w:br w:type="page"/>
            </w:r>
          </w:p>
          <w:tbl>
            <w:tblPr>
              <w:tblW w:w="14867" w:type="dxa"/>
              <w:tblInd w:w="93" w:type="dxa"/>
              <w:tblLook w:val="04A0" w:firstRow="1" w:lastRow="0" w:firstColumn="1" w:lastColumn="0" w:noHBand="0" w:noVBand="1"/>
            </w:tblPr>
            <w:tblGrid>
              <w:gridCol w:w="14867"/>
            </w:tblGrid>
            <w:tr w:rsidR="00C17F88">
              <w:trPr>
                <w:trHeight w:val="630"/>
              </w:trPr>
              <w:tc>
                <w:tcPr>
                  <w:tcW w:w="14867" w:type="dxa"/>
                  <w:tcBorders>
                    <w:top w:val="nil"/>
                    <w:left w:val="nil"/>
                    <w:bottom w:val="nil"/>
                    <w:right w:val="nil"/>
                  </w:tcBorders>
                  <w:shd w:val="clear" w:color="auto" w:fill="auto"/>
                  <w:vAlign w:val="center"/>
                </w:tcPr>
                <w:p w:rsidR="00C17F88" w:rsidRDefault="00C17F88">
                  <w:pPr>
                    <w:widowControl/>
                    <w:jc w:val="left"/>
                    <w:rPr>
                      <w:rFonts w:ascii="仿宋" w:eastAsia="仿宋" w:hAnsi="仿宋" w:cs="宋体"/>
                      <w:b/>
                      <w:kern w:val="0"/>
                      <w:sz w:val="24"/>
                      <w:szCs w:val="24"/>
                    </w:rPr>
                  </w:pPr>
                </w:p>
              </w:tc>
            </w:tr>
          </w:tbl>
          <w:p w:rsidR="00C17F88" w:rsidRDefault="00C17F88">
            <w:pPr>
              <w:widowControl/>
              <w:jc w:val="left"/>
              <w:rPr>
                <w:rFonts w:ascii="仿宋" w:eastAsia="仿宋" w:hAnsi="仿宋" w:cs="宋体"/>
                <w:b/>
                <w:kern w:val="0"/>
                <w:sz w:val="24"/>
                <w:szCs w:val="24"/>
              </w:rPr>
            </w:pPr>
          </w:p>
        </w:tc>
      </w:tr>
    </w:tbl>
    <w:p w:rsidR="00C17F88" w:rsidRDefault="00D87A9E">
      <w:pPr>
        <w:widowControl/>
        <w:jc w:val="left"/>
        <w:rPr>
          <w:rFonts w:ascii="黑体" w:eastAsia="黑体" w:hAnsi="黑体"/>
          <w:sz w:val="32"/>
        </w:rPr>
      </w:pPr>
      <w:r>
        <w:rPr>
          <w:rFonts w:ascii="黑体" w:eastAsia="黑体" w:hAnsi="黑体"/>
          <w:sz w:val="32"/>
        </w:rPr>
        <w:br w:type="page"/>
      </w:r>
    </w:p>
    <w:p w:rsidR="00C17F88" w:rsidRDefault="00D87A9E" w:rsidP="00E11E3D">
      <w:pPr>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4A0" w:firstRow="1" w:lastRow="0" w:firstColumn="1" w:lastColumn="0" w:noHBand="0" w:noVBand="1"/>
      </w:tblPr>
      <w:tblGrid>
        <w:gridCol w:w="660"/>
        <w:gridCol w:w="760"/>
        <w:gridCol w:w="1655"/>
        <w:gridCol w:w="1905"/>
        <w:gridCol w:w="1160"/>
        <w:gridCol w:w="1180"/>
        <w:gridCol w:w="1180"/>
        <w:gridCol w:w="1180"/>
        <w:gridCol w:w="1180"/>
        <w:gridCol w:w="1180"/>
        <w:gridCol w:w="2015"/>
      </w:tblGrid>
      <w:tr w:rsidR="00C17F88">
        <w:trPr>
          <w:trHeight w:val="600"/>
        </w:trPr>
        <w:tc>
          <w:tcPr>
            <w:tcW w:w="14055" w:type="dxa"/>
            <w:gridSpan w:val="11"/>
            <w:tcBorders>
              <w:top w:val="nil"/>
              <w:left w:val="nil"/>
              <w:bottom w:val="nil"/>
              <w:right w:val="nil"/>
            </w:tcBorders>
            <w:shd w:val="clear" w:color="auto" w:fill="FFFFFF"/>
            <w:vAlign w:val="center"/>
          </w:tcPr>
          <w:p w:rsidR="00C17F88" w:rsidRDefault="00D87A9E">
            <w:pPr>
              <w:widowControl/>
              <w:jc w:val="center"/>
              <w:rPr>
                <w:rFonts w:ascii="仿宋" w:eastAsia="仿宋" w:hAnsi="仿宋" w:cs="宋体"/>
                <w:b/>
                <w:kern w:val="0"/>
                <w:sz w:val="32"/>
                <w:szCs w:val="32"/>
              </w:rPr>
            </w:pPr>
            <w:bookmarkStart w:id="5" w:name="RANGE!A1:K16"/>
            <w:r>
              <w:rPr>
                <w:rFonts w:ascii="仿宋" w:eastAsia="仿宋" w:hAnsi="仿宋" w:cs="宋体" w:hint="eastAsia"/>
                <w:b/>
                <w:kern w:val="0"/>
                <w:sz w:val="32"/>
                <w:szCs w:val="32"/>
              </w:rPr>
              <w:t>政府性基金预算财政拨款收入支出决算表</w:t>
            </w:r>
            <w:bookmarkEnd w:id="5"/>
          </w:p>
        </w:tc>
      </w:tr>
      <w:tr w:rsidR="00C17F88">
        <w:trPr>
          <w:trHeight w:val="222"/>
        </w:trPr>
        <w:tc>
          <w:tcPr>
            <w:tcW w:w="660" w:type="dxa"/>
            <w:tcBorders>
              <w:top w:val="nil"/>
              <w:left w:val="nil"/>
              <w:bottom w:val="nil"/>
              <w:right w:val="nil"/>
            </w:tcBorders>
            <w:shd w:val="clear" w:color="auto" w:fill="FFFFFF"/>
            <w:vAlign w:val="center"/>
          </w:tcPr>
          <w:p w:rsidR="00C17F88" w:rsidRDefault="00D87A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17F88" w:rsidRDefault="00D87A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C17F88" w:rsidRDefault="00D87A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公开08表</w:t>
            </w:r>
          </w:p>
        </w:tc>
      </w:tr>
      <w:tr w:rsidR="00C17F88">
        <w:trPr>
          <w:trHeight w:val="300"/>
        </w:trPr>
        <w:tc>
          <w:tcPr>
            <w:tcW w:w="1420" w:type="dxa"/>
            <w:gridSpan w:val="2"/>
            <w:tcBorders>
              <w:top w:val="nil"/>
              <w:left w:val="nil"/>
              <w:bottom w:val="nil"/>
              <w:right w:val="nil"/>
            </w:tcBorders>
            <w:shd w:val="clear" w:color="auto" w:fill="FFFFFF"/>
            <w:noWrap/>
            <w:vAlign w:val="center"/>
          </w:tcPr>
          <w:p w:rsidR="00C17F88" w:rsidRDefault="00D87A9E">
            <w:pPr>
              <w:widowControl/>
              <w:jc w:val="left"/>
              <w:rPr>
                <w:rFonts w:ascii="仿宋" w:eastAsia="仿宋" w:hAnsi="仿宋" w:cs="宋体"/>
                <w:b/>
                <w:color w:val="000000"/>
                <w:kern w:val="0"/>
                <w:sz w:val="20"/>
              </w:rPr>
            </w:pPr>
            <w:r>
              <w:rPr>
                <w:rFonts w:ascii="仿宋" w:eastAsia="仿宋" w:hAnsi="仿宋" w:cs="宋体" w:hint="eastAsia"/>
                <w:b/>
                <w:color w:val="000000"/>
                <w:kern w:val="0"/>
                <w:sz w:val="20"/>
              </w:rPr>
              <w:t>部门：</w:t>
            </w:r>
            <w:r>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C17F88" w:rsidRDefault="00D87A9E">
            <w:pPr>
              <w:widowControl/>
              <w:jc w:val="center"/>
              <w:rPr>
                <w:rFonts w:ascii="仿宋" w:eastAsia="仿宋" w:hAnsi="仿宋" w:cs="宋体"/>
                <w:b/>
                <w:kern w:val="0"/>
                <w:sz w:val="20"/>
              </w:rPr>
            </w:pPr>
            <w:r>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C17F88" w:rsidRDefault="00D87A9E">
            <w:pPr>
              <w:widowControl/>
              <w:jc w:val="left"/>
              <w:rPr>
                <w:rFonts w:ascii="仿宋" w:eastAsia="仿宋" w:hAnsi="仿宋" w:cs="宋体"/>
                <w:b/>
                <w:kern w:val="0"/>
                <w:sz w:val="20"/>
              </w:rPr>
            </w:pPr>
            <w:r>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C17F88" w:rsidRDefault="00D87A9E">
            <w:pPr>
              <w:widowControl/>
              <w:jc w:val="right"/>
              <w:rPr>
                <w:rFonts w:ascii="仿宋" w:eastAsia="仿宋" w:hAnsi="仿宋" w:cs="宋体"/>
                <w:b/>
                <w:color w:val="000000"/>
                <w:kern w:val="0"/>
                <w:sz w:val="20"/>
              </w:rPr>
            </w:pPr>
            <w:r>
              <w:rPr>
                <w:rFonts w:ascii="仿宋" w:eastAsia="仿宋" w:hAnsi="仿宋" w:cs="宋体" w:hint="eastAsia"/>
                <w:b/>
                <w:color w:val="000000"/>
                <w:kern w:val="0"/>
                <w:sz w:val="20"/>
              </w:rPr>
              <w:t>单位：万元</w:t>
            </w:r>
          </w:p>
        </w:tc>
      </w:tr>
      <w:tr w:rsidR="00C17F88">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项 </w:t>
            </w:r>
            <w:r>
              <w:rPr>
                <w:rFonts w:ascii="仿宋" w:eastAsia="仿宋" w:hAnsi="仿宋" w:cs="宋体" w:hint="eastAsia"/>
                <w:b/>
                <w:color w:val="000000"/>
                <w:kern w:val="0"/>
                <w:sz w:val="22"/>
                <w:szCs w:val="22"/>
              </w:rPr>
              <w:t xml:space="preserve">   </w:t>
            </w:r>
            <w:r>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年末结转和结余</w:t>
            </w:r>
          </w:p>
        </w:tc>
      </w:tr>
      <w:tr w:rsidR="00C17F88">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C17F88" w:rsidRDefault="00C17F88">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C17F88" w:rsidRDefault="00C17F88">
            <w:pPr>
              <w:widowControl/>
              <w:jc w:val="left"/>
              <w:rPr>
                <w:rFonts w:ascii="仿宋" w:eastAsia="仿宋" w:hAnsi="仿宋" w:cs="宋体"/>
                <w:b/>
                <w:kern w:val="0"/>
                <w:sz w:val="24"/>
                <w:szCs w:val="24"/>
              </w:rPr>
            </w:pPr>
          </w:p>
        </w:tc>
      </w:tr>
      <w:tr w:rsidR="00C17F88">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C17F88" w:rsidRDefault="00C17F88">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C17F88" w:rsidRDefault="00C17F88">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C17F88" w:rsidRDefault="00C17F88">
            <w:pPr>
              <w:widowControl/>
              <w:jc w:val="left"/>
              <w:rPr>
                <w:rFonts w:ascii="仿宋" w:eastAsia="仿宋" w:hAnsi="仿宋" w:cs="宋体"/>
                <w:b/>
                <w:kern w:val="0"/>
                <w:sz w:val="24"/>
                <w:szCs w:val="24"/>
              </w:rPr>
            </w:pPr>
          </w:p>
        </w:tc>
      </w:tr>
      <w:tr w:rsidR="00C17F88">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C17F88" w:rsidRDefault="00C17F88">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C17F88" w:rsidRDefault="00C17F88">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C17F88" w:rsidRDefault="00C17F88">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C17F88" w:rsidRDefault="00C17F88">
            <w:pPr>
              <w:widowControl/>
              <w:jc w:val="left"/>
              <w:rPr>
                <w:rFonts w:ascii="仿宋" w:eastAsia="仿宋" w:hAnsi="仿宋" w:cs="宋体"/>
                <w:b/>
                <w:kern w:val="0"/>
                <w:sz w:val="24"/>
                <w:szCs w:val="24"/>
              </w:rPr>
            </w:pPr>
          </w:p>
        </w:tc>
      </w:tr>
      <w:tr w:rsidR="00C17F88">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6</w:t>
            </w:r>
          </w:p>
        </w:tc>
      </w:tr>
      <w:tr w:rsidR="00C17F88">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C17F88" w:rsidRDefault="00D87A9E">
            <w:pPr>
              <w:widowControl/>
              <w:jc w:val="center"/>
              <w:rPr>
                <w:rFonts w:ascii="仿宋" w:eastAsia="仿宋" w:hAnsi="仿宋" w:cs="宋体"/>
                <w:b/>
                <w:kern w:val="0"/>
                <w:sz w:val="24"/>
                <w:szCs w:val="24"/>
              </w:rPr>
            </w:pPr>
            <w:r>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184.21</w:t>
            </w:r>
          </w:p>
        </w:tc>
        <w:tc>
          <w:tcPr>
            <w:tcW w:w="11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96.00</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kern w:val="0"/>
                <w:sz w:val="22"/>
                <w:szCs w:val="22"/>
              </w:rPr>
            </w:pPr>
            <w:r>
              <w:rPr>
                <w:rFonts w:ascii="仿宋" w:eastAsia="仿宋" w:hAnsi="仿宋" w:cs="仿宋" w:hint="eastAsia"/>
                <w:b/>
                <w:kern w:val="0"/>
                <w:sz w:val="22"/>
                <w:szCs w:val="22"/>
              </w:rPr>
              <w:t xml:space="preserve">110.19　</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kern w:val="0"/>
                <w:sz w:val="22"/>
                <w:szCs w:val="22"/>
              </w:rPr>
            </w:pPr>
            <w:r>
              <w:rPr>
                <w:rFonts w:ascii="仿宋" w:eastAsia="仿宋" w:hAnsi="仿宋" w:cs="仿宋" w:hint="eastAsia"/>
                <w:b/>
                <w:kern w:val="0"/>
                <w:sz w:val="22"/>
                <w:szCs w:val="22"/>
              </w:rPr>
              <w:t xml:space="preserve">27.93　</w:t>
            </w:r>
          </w:p>
        </w:tc>
        <w:tc>
          <w:tcPr>
            <w:tcW w:w="1180" w:type="dxa"/>
            <w:tcBorders>
              <w:top w:val="nil"/>
              <w:left w:val="nil"/>
              <w:bottom w:val="single" w:sz="4" w:space="0" w:color="auto"/>
              <w:right w:val="nil"/>
            </w:tcBorders>
            <w:shd w:val="clear" w:color="auto" w:fill="auto"/>
            <w:vAlign w:val="center"/>
          </w:tcPr>
          <w:p w:rsidR="00C17F88" w:rsidRDefault="00D87A9E">
            <w:pPr>
              <w:widowControl/>
              <w:jc w:val="right"/>
              <w:rPr>
                <w:rFonts w:ascii="仿宋" w:eastAsia="仿宋" w:hAnsi="仿宋" w:cs="仿宋"/>
                <w:b/>
                <w:kern w:val="0"/>
                <w:sz w:val="22"/>
                <w:szCs w:val="22"/>
              </w:rPr>
            </w:pPr>
            <w:r>
              <w:rPr>
                <w:rFonts w:ascii="仿宋" w:eastAsia="仿宋" w:hAnsi="仿宋" w:cs="仿宋" w:hint="eastAsia"/>
                <w:b/>
                <w:kern w:val="0"/>
                <w:sz w:val="22"/>
                <w:szCs w:val="22"/>
              </w:rPr>
              <w:t xml:space="preserve">0.00　</w:t>
            </w:r>
          </w:p>
        </w:tc>
        <w:tc>
          <w:tcPr>
            <w:tcW w:w="118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rPr>
                <w:rFonts w:ascii="仿宋" w:eastAsia="仿宋" w:hAnsi="仿宋" w:cs="仿宋"/>
                <w:b/>
                <w:kern w:val="0"/>
                <w:sz w:val="22"/>
                <w:szCs w:val="22"/>
              </w:rPr>
            </w:pPr>
            <w:r>
              <w:rPr>
                <w:rFonts w:ascii="仿宋" w:eastAsia="仿宋" w:hAnsi="仿宋" w:cs="仿宋" w:hint="eastAsia"/>
                <w:b/>
                <w:kern w:val="0"/>
                <w:sz w:val="22"/>
                <w:szCs w:val="22"/>
              </w:rPr>
              <w:t xml:space="preserve">27.93　</w:t>
            </w:r>
          </w:p>
        </w:tc>
        <w:tc>
          <w:tcPr>
            <w:tcW w:w="118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rPr>
                <w:rFonts w:ascii="仿宋" w:eastAsia="仿宋" w:hAnsi="仿宋" w:cs="仿宋"/>
                <w:b/>
                <w:kern w:val="0"/>
                <w:sz w:val="22"/>
                <w:szCs w:val="22"/>
              </w:rPr>
            </w:pPr>
            <w:r>
              <w:rPr>
                <w:rFonts w:ascii="仿宋" w:eastAsia="仿宋" w:hAnsi="仿宋" w:cs="仿宋" w:hint="eastAsia"/>
                <w:b/>
                <w:kern w:val="0"/>
                <w:sz w:val="22"/>
                <w:szCs w:val="22"/>
              </w:rPr>
              <w:t xml:space="preserve">82.26　</w:t>
            </w:r>
          </w:p>
        </w:tc>
        <w:tc>
          <w:tcPr>
            <w:tcW w:w="2015"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rPr>
                <w:rFonts w:ascii="仿宋" w:eastAsia="仿宋" w:hAnsi="仿宋" w:cs="仿宋"/>
                <w:b/>
                <w:kern w:val="0"/>
                <w:sz w:val="22"/>
                <w:szCs w:val="22"/>
              </w:rPr>
            </w:pPr>
            <w:r>
              <w:rPr>
                <w:rFonts w:ascii="仿宋" w:eastAsia="仿宋" w:hAnsi="仿宋" w:cs="仿宋" w:hint="eastAsia"/>
                <w:b/>
                <w:kern w:val="0"/>
                <w:sz w:val="22"/>
                <w:szCs w:val="22"/>
              </w:rPr>
              <w:t xml:space="preserve">170.02　</w:t>
            </w:r>
          </w:p>
        </w:tc>
      </w:tr>
      <w:tr w:rsidR="00C17F88">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仿宋"/>
                <w:b/>
                <w:bCs/>
                <w:kern w:val="0"/>
                <w:sz w:val="22"/>
                <w:szCs w:val="22"/>
                <w:highlight w:val="yellow"/>
              </w:rPr>
            </w:pPr>
            <w:r>
              <w:rPr>
                <w:rFonts w:ascii="仿宋" w:eastAsia="仿宋" w:hAnsi="仿宋" w:cs="仿宋" w:hint="eastAsia"/>
                <w:b/>
                <w:bCs/>
                <w:sz w:val="22"/>
                <w:szCs w:val="22"/>
              </w:rPr>
              <w:t>229</w:t>
            </w:r>
          </w:p>
        </w:tc>
        <w:tc>
          <w:tcPr>
            <w:tcW w:w="165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仿宋"/>
                <w:b/>
                <w:bCs/>
                <w:kern w:val="0"/>
                <w:sz w:val="22"/>
                <w:szCs w:val="22"/>
                <w:highlight w:val="yellow"/>
              </w:rPr>
            </w:pPr>
            <w:r>
              <w:rPr>
                <w:rFonts w:ascii="仿宋" w:eastAsia="仿宋" w:hAnsi="仿宋" w:cs="仿宋" w:hint="eastAsia"/>
                <w:b/>
                <w:bCs/>
                <w:sz w:val="22"/>
                <w:szCs w:val="22"/>
              </w:rPr>
              <w:t>其他支出</w:t>
            </w:r>
          </w:p>
        </w:tc>
        <w:tc>
          <w:tcPr>
            <w:tcW w:w="19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184.21</w:t>
            </w:r>
          </w:p>
        </w:tc>
        <w:tc>
          <w:tcPr>
            <w:tcW w:w="11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96.00</w:t>
            </w: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110.19　</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27.93　</w:t>
            </w:r>
          </w:p>
        </w:tc>
        <w:tc>
          <w:tcPr>
            <w:tcW w:w="1180" w:type="dxa"/>
            <w:tcBorders>
              <w:top w:val="nil"/>
              <w:left w:val="nil"/>
              <w:bottom w:val="single" w:sz="4" w:space="0" w:color="auto"/>
              <w:right w:val="nil"/>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0.00　</w:t>
            </w:r>
          </w:p>
        </w:tc>
        <w:tc>
          <w:tcPr>
            <w:tcW w:w="118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27.93　</w:t>
            </w:r>
          </w:p>
        </w:tc>
        <w:tc>
          <w:tcPr>
            <w:tcW w:w="118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82.26　</w:t>
            </w:r>
          </w:p>
        </w:tc>
        <w:tc>
          <w:tcPr>
            <w:tcW w:w="2015"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170.02　</w:t>
            </w:r>
          </w:p>
        </w:tc>
      </w:tr>
      <w:tr w:rsidR="00C17F88">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仿宋"/>
                <w:b/>
                <w:bCs/>
                <w:kern w:val="0"/>
                <w:sz w:val="22"/>
                <w:szCs w:val="22"/>
                <w:highlight w:val="yellow"/>
              </w:rPr>
            </w:pPr>
            <w:r>
              <w:rPr>
                <w:rFonts w:ascii="仿宋" w:eastAsia="仿宋" w:hAnsi="仿宋" w:cs="仿宋" w:hint="eastAsia"/>
                <w:b/>
                <w:bCs/>
                <w:sz w:val="22"/>
                <w:szCs w:val="22"/>
              </w:rPr>
              <w:t>22960</w:t>
            </w:r>
          </w:p>
        </w:tc>
        <w:tc>
          <w:tcPr>
            <w:tcW w:w="165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仿宋"/>
                <w:b/>
                <w:bCs/>
                <w:kern w:val="0"/>
                <w:sz w:val="22"/>
                <w:szCs w:val="22"/>
                <w:highlight w:val="yellow"/>
              </w:rPr>
            </w:pPr>
            <w:r>
              <w:rPr>
                <w:rFonts w:ascii="仿宋" w:eastAsia="仿宋" w:hAnsi="仿宋" w:cs="仿宋" w:hint="eastAsia"/>
                <w:b/>
                <w:bCs/>
                <w:sz w:val="22"/>
                <w:szCs w:val="22"/>
              </w:rPr>
              <w:t>彩票公益金安排的支出</w:t>
            </w:r>
          </w:p>
        </w:tc>
        <w:tc>
          <w:tcPr>
            <w:tcW w:w="19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184.21</w:t>
            </w:r>
          </w:p>
        </w:tc>
        <w:tc>
          <w:tcPr>
            <w:tcW w:w="11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96.00</w:t>
            </w: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110.19　</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27.93　</w:t>
            </w:r>
          </w:p>
        </w:tc>
        <w:tc>
          <w:tcPr>
            <w:tcW w:w="1180" w:type="dxa"/>
            <w:tcBorders>
              <w:top w:val="nil"/>
              <w:left w:val="nil"/>
              <w:bottom w:val="single" w:sz="4" w:space="0" w:color="auto"/>
              <w:right w:val="nil"/>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0.00　</w:t>
            </w:r>
          </w:p>
        </w:tc>
        <w:tc>
          <w:tcPr>
            <w:tcW w:w="118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27.93　</w:t>
            </w:r>
          </w:p>
        </w:tc>
        <w:tc>
          <w:tcPr>
            <w:tcW w:w="118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82.26　</w:t>
            </w:r>
          </w:p>
        </w:tc>
        <w:tc>
          <w:tcPr>
            <w:tcW w:w="2015"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170.02　</w:t>
            </w:r>
          </w:p>
        </w:tc>
      </w:tr>
      <w:tr w:rsidR="00C17F88">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仿宋"/>
                <w:b/>
                <w:bCs/>
                <w:kern w:val="0"/>
                <w:sz w:val="22"/>
                <w:szCs w:val="22"/>
                <w:highlight w:val="yellow"/>
              </w:rPr>
            </w:pPr>
            <w:r>
              <w:rPr>
                <w:rFonts w:ascii="仿宋" w:eastAsia="仿宋" w:hAnsi="仿宋" w:cs="仿宋" w:hint="eastAsia"/>
                <w:b/>
                <w:bCs/>
                <w:sz w:val="22"/>
                <w:szCs w:val="22"/>
              </w:rPr>
              <w:t>2296004</w:t>
            </w:r>
          </w:p>
        </w:tc>
        <w:tc>
          <w:tcPr>
            <w:tcW w:w="1655" w:type="dxa"/>
            <w:tcBorders>
              <w:top w:val="nil"/>
              <w:left w:val="nil"/>
              <w:bottom w:val="single" w:sz="4" w:space="0" w:color="auto"/>
              <w:right w:val="single" w:sz="4" w:space="0" w:color="auto"/>
            </w:tcBorders>
            <w:shd w:val="clear" w:color="auto" w:fill="auto"/>
            <w:vAlign w:val="center"/>
          </w:tcPr>
          <w:p w:rsidR="00C17F88" w:rsidRDefault="00D87A9E">
            <w:pPr>
              <w:widowControl/>
              <w:jc w:val="center"/>
              <w:rPr>
                <w:rFonts w:ascii="仿宋" w:eastAsia="仿宋" w:hAnsi="仿宋" w:cs="仿宋"/>
                <w:b/>
                <w:bCs/>
                <w:kern w:val="0"/>
                <w:sz w:val="22"/>
                <w:szCs w:val="22"/>
                <w:highlight w:val="yellow"/>
              </w:rPr>
            </w:pPr>
            <w:r>
              <w:rPr>
                <w:rFonts w:ascii="仿宋" w:eastAsia="仿宋" w:hAnsi="仿宋" w:cs="仿宋" w:hint="eastAsia"/>
                <w:b/>
                <w:bCs/>
                <w:sz w:val="22"/>
                <w:szCs w:val="22"/>
              </w:rPr>
              <w:t>用于教育事业的彩票公益金支出</w:t>
            </w:r>
          </w:p>
        </w:tc>
        <w:tc>
          <w:tcPr>
            <w:tcW w:w="19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184.21</w:t>
            </w:r>
          </w:p>
        </w:tc>
        <w:tc>
          <w:tcPr>
            <w:tcW w:w="11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sz w:val="22"/>
                <w:szCs w:val="22"/>
              </w:rPr>
              <w:t>96.00</w:t>
            </w:r>
            <w:r>
              <w:rPr>
                <w:rFonts w:ascii="仿宋" w:eastAsia="仿宋" w:hAnsi="仿宋" w:cs="仿宋" w:hint="eastAsia"/>
                <w:b/>
                <w:bCs/>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110.19　</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27.93　</w:t>
            </w:r>
          </w:p>
        </w:tc>
        <w:tc>
          <w:tcPr>
            <w:tcW w:w="1180" w:type="dxa"/>
            <w:tcBorders>
              <w:top w:val="nil"/>
              <w:left w:val="nil"/>
              <w:bottom w:val="single" w:sz="4" w:space="0" w:color="auto"/>
              <w:right w:val="nil"/>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0.00　</w:t>
            </w:r>
          </w:p>
        </w:tc>
        <w:tc>
          <w:tcPr>
            <w:tcW w:w="118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27.93　</w:t>
            </w:r>
          </w:p>
        </w:tc>
        <w:tc>
          <w:tcPr>
            <w:tcW w:w="118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82.26　</w:t>
            </w:r>
          </w:p>
        </w:tc>
        <w:tc>
          <w:tcPr>
            <w:tcW w:w="2015"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rPr>
                <w:rFonts w:ascii="仿宋" w:eastAsia="仿宋" w:hAnsi="仿宋" w:cs="仿宋"/>
                <w:b/>
                <w:bCs/>
                <w:kern w:val="0"/>
                <w:sz w:val="22"/>
                <w:szCs w:val="22"/>
              </w:rPr>
            </w:pPr>
            <w:r>
              <w:rPr>
                <w:rFonts w:ascii="仿宋" w:eastAsia="仿宋" w:hAnsi="仿宋" w:cs="仿宋" w:hint="eastAsia"/>
                <w:b/>
                <w:bCs/>
                <w:kern w:val="0"/>
                <w:sz w:val="22"/>
                <w:szCs w:val="22"/>
              </w:rPr>
              <w:t xml:space="preserve">170.02　</w:t>
            </w:r>
          </w:p>
        </w:tc>
      </w:tr>
      <w:tr w:rsidR="00C17F88">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C17F88">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17F88" w:rsidRDefault="00C17F88">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17F88">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C17F88">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17F88" w:rsidRDefault="00C17F88">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17F88" w:rsidRDefault="00C17F88">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17F88" w:rsidRDefault="00C17F88">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17F88" w:rsidRDefault="00C17F88">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17F88" w:rsidRDefault="00C17F88">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17F88" w:rsidRDefault="00C17F88">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17F88" w:rsidRDefault="00C17F88">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17F88" w:rsidRDefault="00C17F88">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17F88" w:rsidRDefault="00C17F88">
            <w:pPr>
              <w:widowControl/>
              <w:jc w:val="right"/>
              <w:rPr>
                <w:rFonts w:ascii="仿宋" w:eastAsia="仿宋" w:hAnsi="仿宋" w:cs="宋体"/>
                <w:b/>
                <w:kern w:val="0"/>
                <w:sz w:val="22"/>
                <w:szCs w:val="22"/>
              </w:rPr>
            </w:pPr>
          </w:p>
        </w:tc>
      </w:tr>
      <w:tr w:rsidR="00C17F88">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17F88" w:rsidRDefault="00C17F88">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17F88" w:rsidRDefault="00C17F88">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17F88" w:rsidRDefault="00D87A9E">
            <w:pPr>
              <w:widowControl/>
              <w:jc w:val="right"/>
              <w:rPr>
                <w:rFonts w:ascii="仿宋" w:eastAsia="仿宋" w:hAnsi="仿宋" w:cs="宋体"/>
                <w:b/>
                <w:kern w:val="0"/>
                <w:sz w:val="22"/>
                <w:szCs w:val="22"/>
              </w:rPr>
            </w:pPr>
            <w:r>
              <w:rPr>
                <w:rFonts w:ascii="仿宋" w:eastAsia="仿宋" w:hAnsi="仿宋" w:cs="宋体" w:hint="eastAsia"/>
                <w:b/>
                <w:kern w:val="0"/>
                <w:sz w:val="22"/>
                <w:szCs w:val="22"/>
              </w:rPr>
              <w:t xml:space="preserve">　</w:t>
            </w:r>
          </w:p>
        </w:tc>
      </w:tr>
      <w:tr w:rsidR="00C17F88">
        <w:trPr>
          <w:trHeight w:val="645"/>
        </w:trPr>
        <w:tc>
          <w:tcPr>
            <w:tcW w:w="14055" w:type="dxa"/>
            <w:gridSpan w:val="11"/>
            <w:tcBorders>
              <w:top w:val="single" w:sz="8" w:space="0" w:color="auto"/>
              <w:left w:val="nil"/>
              <w:bottom w:val="nil"/>
              <w:right w:val="nil"/>
            </w:tcBorders>
            <w:shd w:val="clear" w:color="auto" w:fill="auto"/>
            <w:vAlign w:val="center"/>
          </w:tcPr>
          <w:p w:rsidR="00C17F88" w:rsidRDefault="00D87A9E">
            <w:pPr>
              <w:widowControl/>
              <w:ind w:left="420" w:hanging="420"/>
              <w:jc w:val="left"/>
              <w:rPr>
                <w:rFonts w:ascii="仿宋" w:eastAsia="仿宋" w:hAnsi="仿宋" w:cs="宋体"/>
                <w:b/>
                <w:kern w:val="0"/>
                <w:sz w:val="24"/>
                <w:szCs w:val="24"/>
              </w:rPr>
            </w:pPr>
            <w:r>
              <w:rPr>
                <w:rFonts w:ascii="仿宋" w:eastAsia="仿宋" w:hAnsi="仿宋" w:cs="宋体" w:hint="eastAsia"/>
                <w:b/>
                <w:kern w:val="0"/>
                <w:sz w:val="24"/>
                <w:szCs w:val="24"/>
              </w:rPr>
              <w:t>注：本表反映部门本年度政府性基金预算财政拨款收入支出及结转和结余情况。</w:t>
            </w:r>
          </w:p>
        </w:tc>
      </w:tr>
    </w:tbl>
    <w:p w:rsidR="00C17F88" w:rsidRDefault="00C17F88">
      <w:pPr>
        <w:jc w:val="center"/>
        <w:rPr>
          <w:rFonts w:ascii="方正小标宋简体" w:eastAsia="方正小标宋简体" w:hAnsi="方正小标宋简体"/>
          <w:sz w:val="44"/>
        </w:rPr>
        <w:sectPr w:rsidR="00C17F88">
          <w:pgSz w:w="16838" w:h="11906" w:orient="landscape"/>
          <w:pgMar w:top="1797" w:right="1440" w:bottom="1797" w:left="1440" w:header="851" w:footer="992" w:gutter="0"/>
          <w:cols w:space="720"/>
          <w:docGrid w:linePitch="312"/>
        </w:sectPr>
      </w:pPr>
    </w:p>
    <w:p w:rsidR="00C17F88" w:rsidRDefault="00C17F88">
      <w:pPr>
        <w:rPr>
          <w:rFonts w:ascii="方正小标宋_GBK" w:eastAsia="方正小标宋_GBK" w:hAnsi="方正小标宋简体"/>
          <w:sz w:val="44"/>
        </w:rPr>
      </w:pPr>
    </w:p>
    <w:p w:rsidR="00C17F88" w:rsidRDefault="00D87A9E">
      <w:pPr>
        <w:jc w:val="center"/>
        <w:rPr>
          <w:rFonts w:ascii="方正小标宋_GBK" w:eastAsia="方正小标宋_GBK" w:hAnsi="方正小标宋简体"/>
          <w:sz w:val="44"/>
        </w:rPr>
      </w:pPr>
      <w:r>
        <w:rPr>
          <w:rFonts w:ascii="方正小标宋_GBK" w:eastAsia="方正小标宋_GBK" w:hAnsi="方正小标宋简体" w:hint="eastAsia"/>
          <w:sz w:val="44"/>
        </w:rPr>
        <w:t>第三部分  2019年度部门决算情况说明</w:t>
      </w:r>
    </w:p>
    <w:p w:rsidR="00C17F88" w:rsidRDefault="00C17F88">
      <w:pPr>
        <w:rPr>
          <w:rFonts w:ascii="仿宋" w:eastAsia="仿宋" w:hAnsi="仿宋"/>
          <w:sz w:val="32"/>
        </w:rPr>
      </w:pPr>
    </w:p>
    <w:p w:rsidR="00C17F88" w:rsidRDefault="00D87A9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Pr>
          <w:rFonts w:ascii="黑体" w:eastAsia="黑体" w:hAnsi="黑体" w:hint="eastAsia"/>
          <w:sz w:val="32"/>
          <w:szCs w:val="30"/>
        </w:rPr>
        <w:t>2019年度收入支出决算总体情况说明</w:t>
      </w:r>
    </w:p>
    <w:p w:rsidR="00C17F88" w:rsidRDefault="00D87A9E">
      <w:pPr>
        <w:spacing w:line="560" w:lineRule="exact"/>
        <w:rPr>
          <w:rFonts w:ascii="仿宋" w:eastAsia="仿宋" w:hAnsi="仿宋"/>
          <w:sz w:val="32"/>
          <w:szCs w:val="30"/>
        </w:rPr>
      </w:pPr>
      <w:r>
        <w:rPr>
          <w:rFonts w:ascii="仿宋" w:eastAsia="仿宋" w:hAnsi="仿宋" w:hint="eastAsia"/>
          <w:sz w:val="32"/>
        </w:rPr>
        <w:t xml:space="preserve">    按照部门决算与部门预算相衔接的原则，决算编制内容包括预算单位的全部收支情况。收入包括：财政拨款收入、事业收入、其他收入、用事业基金弥补收支差额、年初结转和结余；支出包括：教育支出、其他支出。2019年</w:t>
      </w:r>
      <w:r>
        <w:rPr>
          <w:rFonts w:ascii="仿宋" w:eastAsia="仿宋" w:hAnsi="仿宋" w:hint="eastAsia"/>
          <w:sz w:val="32"/>
          <w:szCs w:val="30"/>
        </w:rPr>
        <w:t>收入总计85,710.50万元，支出总计83,717.57万元。</w:t>
      </w:r>
    </w:p>
    <w:p w:rsidR="00C17F88" w:rsidRDefault="00D87A9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二、</w:t>
      </w:r>
      <w:r>
        <w:rPr>
          <w:rFonts w:ascii="黑体" w:eastAsia="黑体" w:hAnsi="黑体" w:hint="eastAsia"/>
          <w:sz w:val="32"/>
          <w:szCs w:val="30"/>
        </w:rPr>
        <w:t>2019年度收入决算情况说明</w:t>
      </w:r>
    </w:p>
    <w:p w:rsidR="00C17F88" w:rsidRDefault="00D87A9E">
      <w:pPr>
        <w:spacing w:line="560" w:lineRule="exact"/>
        <w:ind w:firstLine="640"/>
        <w:rPr>
          <w:rFonts w:ascii="仿宋" w:eastAsia="仿宋" w:hAnsi="仿宋"/>
          <w:sz w:val="32"/>
        </w:rPr>
      </w:pPr>
      <w:r>
        <w:rPr>
          <w:rFonts w:ascii="仿宋" w:eastAsia="仿宋" w:hAnsi="仿宋" w:hint="eastAsia"/>
          <w:noProof/>
          <w:sz w:val="32"/>
        </w:rPr>
        <w:drawing>
          <wp:anchor distT="0" distB="0" distL="114300" distR="114300" simplePos="0" relativeHeight="251658240" behindDoc="0" locked="0" layoutInCell="1" allowOverlap="1">
            <wp:simplePos x="0" y="0"/>
            <wp:positionH relativeFrom="column">
              <wp:posOffset>401955</wp:posOffset>
            </wp:positionH>
            <wp:positionV relativeFrom="paragraph">
              <wp:posOffset>2925445</wp:posOffset>
            </wp:positionV>
            <wp:extent cx="4508500" cy="2297430"/>
            <wp:effectExtent l="0" t="0" r="6350" b="7620"/>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Pr>
          <w:rFonts w:ascii="仿宋" w:eastAsia="仿宋" w:hAnsi="仿宋" w:hint="eastAsia"/>
          <w:sz w:val="32"/>
        </w:rPr>
        <w:t>本年收入合计</w:t>
      </w:r>
      <w:r>
        <w:rPr>
          <w:rFonts w:ascii="仿宋" w:eastAsia="仿宋" w:hAnsi="仿宋" w:hint="eastAsia"/>
          <w:sz w:val="32"/>
          <w:szCs w:val="30"/>
        </w:rPr>
        <w:t>85,710.50</w:t>
      </w:r>
      <w:r>
        <w:rPr>
          <w:rFonts w:ascii="仿宋" w:eastAsia="仿宋" w:hAnsi="仿宋" w:hint="eastAsia"/>
          <w:sz w:val="32"/>
        </w:rPr>
        <w:t>万元，</w:t>
      </w:r>
      <w:r>
        <w:rPr>
          <w:rFonts w:ascii="仿宋" w:eastAsia="仿宋" w:hAnsi="仿宋" w:hint="eastAsia"/>
          <w:sz w:val="32"/>
          <w:szCs w:val="30"/>
        </w:rPr>
        <w:t>与2018年相比减少 7178.98万元，降低7.73%。主要原因：一是退休人员转入社保开支，导致收入减少。2019年退休费比2018年减少8492.84万元；二是校舍新建项目陆续完工并投入使用，导致收入减少。如区东北师大双阳实验校新建、市</w:t>
      </w:r>
      <w:proofErr w:type="gramStart"/>
      <w:r>
        <w:rPr>
          <w:rFonts w:ascii="仿宋" w:eastAsia="仿宋" w:hAnsi="仿宋" w:hint="eastAsia"/>
          <w:sz w:val="32"/>
          <w:szCs w:val="30"/>
        </w:rPr>
        <w:t>晨宇希望</w:t>
      </w:r>
      <w:proofErr w:type="gramEnd"/>
      <w:r>
        <w:rPr>
          <w:rFonts w:ascii="仿宋" w:eastAsia="仿宋" w:hAnsi="仿宋" w:hint="eastAsia"/>
          <w:sz w:val="32"/>
          <w:szCs w:val="30"/>
        </w:rPr>
        <w:t>中学、市171中学校舍改建已竣工并陆续投入使用。</w:t>
      </w:r>
      <w:r>
        <w:rPr>
          <w:rFonts w:ascii="仿宋" w:eastAsia="仿宋" w:hAnsi="仿宋" w:hint="eastAsia"/>
          <w:sz w:val="32"/>
        </w:rPr>
        <w:t>其中：财政拨款收入</w:t>
      </w:r>
      <w:r>
        <w:rPr>
          <w:rFonts w:ascii="仿宋" w:eastAsia="仿宋" w:hAnsi="仿宋" w:hint="eastAsia"/>
          <w:sz w:val="32"/>
          <w:szCs w:val="30"/>
        </w:rPr>
        <w:t>83419.1</w:t>
      </w:r>
      <w:r>
        <w:rPr>
          <w:rFonts w:ascii="仿宋" w:eastAsia="仿宋" w:hAnsi="仿宋" w:hint="eastAsia"/>
          <w:sz w:val="32"/>
        </w:rPr>
        <w:t>万元，占</w:t>
      </w:r>
      <w:r>
        <w:rPr>
          <w:rFonts w:ascii="仿宋" w:eastAsia="仿宋" w:hAnsi="仿宋" w:hint="eastAsia"/>
          <w:sz w:val="32"/>
          <w:szCs w:val="30"/>
        </w:rPr>
        <w:t>97.33</w:t>
      </w:r>
      <w:r>
        <w:rPr>
          <w:rFonts w:ascii="仿宋" w:eastAsia="仿宋" w:hAnsi="仿宋" w:hint="eastAsia"/>
          <w:sz w:val="32"/>
        </w:rPr>
        <w:t>%；事业收入1,094.24万元，占1.27%；其他收入1,197.16万元，占1.40%。</w:t>
      </w:r>
    </w:p>
    <w:p w:rsidR="00C17F88" w:rsidRDefault="00D87A9E">
      <w:pPr>
        <w:spacing w:line="560" w:lineRule="exact"/>
        <w:rPr>
          <w:rFonts w:ascii="仿宋" w:eastAsia="仿宋" w:hAnsi="仿宋"/>
          <w:sz w:val="32"/>
        </w:rPr>
      </w:pPr>
      <w:r>
        <w:rPr>
          <w:rFonts w:ascii="仿宋" w:eastAsia="仿宋" w:hAnsi="仿宋" w:hint="eastAsia"/>
          <w:sz w:val="32"/>
        </w:rPr>
        <w:lastRenderedPageBreak/>
        <w:t xml:space="preserve">    </w:t>
      </w:r>
      <w:r>
        <w:rPr>
          <w:rFonts w:ascii="黑体" w:eastAsia="黑体" w:hAnsi="黑体" w:hint="eastAsia"/>
          <w:sz w:val="32"/>
        </w:rPr>
        <w:t>三、</w:t>
      </w:r>
      <w:r>
        <w:rPr>
          <w:rFonts w:ascii="黑体" w:eastAsia="黑体" w:hAnsi="黑体" w:hint="eastAsia"/>
          <w:sz w:val="32"/>
          <w:szCs w:val="30"/>
        </w:rPr>
        <w:t>2019年度支出决算情况说明</w:t>
      </w:r>
    </w:p>
    <w:p w:rsidR="00C17F88" w:rsidRDefault="00D87A9E">
      <w:pPr>
        <w:spacing w:line="560" w:lineRule="exact"/>
        <w:ind w:firstLine="640"/>
        <w:rPr>
          <w:rFonts w:ascii="仿宋" w:eastAsia="仿宋" w:hAnsi="仿宋"/>
          <w:sz w:val="32"/>
        </w:rPr>
      </w:pPr>
      <w:r>
        <w:rPr>
          <w:rFonts w:ascii="仿宋" w:eastAsia="仿宋" w:hAnsi="仿宋" w:hint="eastAsia"/>
          <w:sz w:val="32"/>
        </w:rPr>
        <w:t>本年支出合计</w:t>
      </w:r>
      <w:r>
        <w:rPr>
          <w:rFonts w:ascii="仿宋" w:eastAsia="仿宋" w:hAnsi="仿宋" w:hint="eastAsia"/>
          <w:sz w:val="32"/>
          <w:szCs w:val="30"/>
        </w:rPr>
        <w:t>83,717.57</w:t>
      </w:r>
      <w:r>
        <w:rPr>
          <w:rFonts w:ascii="仿宋" w:eastAsia="仿宋" w:hAnsi="仿宋" w:hint="eastAsia"/>
          <w:sz w:val="32"/>
        </w:rPr>
        <w:t>万元，</w:t>
      </w:r>
      <w:r>
        <w:rPr>
          <w:rFonts w:ascii="仿宋" w:eastAsia="仿宋" w:hAnsi="仿宋" w:hint="eastAsia"/>
          <w:sz w:val="32"/>
          <w:szCs w:val="30"/>
        </w:rPr>
        <w:t>与2018年相比减少 2288.62万元，降低2.66%。主要原因：一是退休人员转入社保开支，导致收入减少。2019年退休费比2018年减少8492.84万元；二是校舍新建项目陆续完工并投入使用，导致收入减少。如区东北师大双阳实验校新建、市</w:t>
      </w:r>
      <w:proofErr w:type="gramStart"/>
      <w:r>
        <w:rPr>
          <w:rFonts w:ascii="仿宋" w:eastAsia="仿宋" w:hAnsi="仿宋" w:hint="eastAsia"/>
          <w:sz w:val="32"/>
          <w:szCs w:val="30"/>
        </w:rPr>
        <w:t>晨宇希望</w:t>
      </w:r>
      <w:proofErr w:type="gramEnd"/>
      <w:r>
        <w:rPr>
          <w:rFonts w:ascii="仿宋" w:eastAsia="仿宋" w:hAnsi="仿宋" w:hint="eastAsia"/>
          <w:sz w:val="32"/>
          <w:szCs w:val="30"/>
        </w:rPr>
        <w:t>中学、市171中学校舍改建已竣工并陆续投入使用。</w:t>
      </w:r>
      <w:r>
        <w:rPr>
          <w:rFonts w:ascii="仿宋" w:eastAsia="仿宋" w:hAnsi="仿宋" w:hint="eastAsia"/>
          <w:sz w:val="32"/>
        </w:rPr>
        <w:t>其中：基本支出</w:t>
      </w:r>
      <w:r>
        <w:rPr>
          <w:rFonts w:ascii="仿宋" w:eastAsia="仿宋" w:hAnsi="仿宋" w:hint="eastAsia"/>
          <w:sz w:val="32"/>
          <w:szCs w:val="30"/>
        </w:rPr>
        <w:t>62,691.76</w:t>
      </w:r>
      <w:r>
        <w:rPr>
          <w:rFonts w:ascii="仿宋" w:eastAsia="仿宋" w:hAnsi="仿宋" w:hint="eastAsia"/>
          <w:sz w:val="32"/>
        </w:rPr>
        <w:t>万元，占</w:t>
      </w:r>
      <w:r>
        <w:rPr>
          <w:rFonts w:ascii="仿宋" w:eastAsia="仿宋" w:hAnsi="仿宋" w:hint="eastAsia"/>
          <w:sz w:val="32"/>
          <w:szCs w:val="30"/>
        </w:rPr>
        <w:t xml:space="preserve">74.88 </w:t>
      </w:r>
      <w:r>
        <w:rPr>
          <w:rFonts w:ascii="仿宋" w:eastAsia="仿宋" w:hAnsi="仿宋" w:hint="eastAsia"/>
          <w:sz w:val="32"/>
        </w:rPr>
        <w:t>%；项目支出</w:t>
      </w:r>
      <w:r>
        <w:rPr>
          <w:rFonts w:ascii="仿宋" w:eastAsia="仿宋" w:hAnsi="仿宋" w:hint="eastAsia"/>
          <w:sz w:val="32"/>
          <w:szCs w:val="30"/>
        </w:rPr>
        <w:t>21,025.81</w:t>
      </w:r>
      <w:r>
        <w:rPr>
          <w:rFonts w:ascii="仿宋" w:eastAsia="仿宋" w:hAnsi="仿宋" w:hint="eastAsia"/>
          <w:sz w:val="32"/>
        </w:rPr>
        <w:t>万元，占</w:t>
      </w:r>
      <w:r>
        <w:rPr>
          <w:rFonts w:ascii="仿宋" w:eastAsia="仿宋" w:hAnsi="仿宋" w:hint="eastAsia"/>
          <w:sz w:val="32"/>
          <w:szCs w:val="30"/>
        </w:rPr>
        <w:t>25.12</w:t>
      </w:r>
      <w:r>
        <w:rPr>
          <w:rFonts w:ascii="仿宋" w:eastAsia="仿宋" w:hAnsi="仿宋" w:hint="eastAsia"/>
          <w:sz w:val="32"/>
        </w:rPr>
        <w:t>%；基本支出中，人员经费56,288.00万元，占89.79%；公用经费6,403.76万元，占10.21%。</w:t>
      </w:r>
    </w:p>
    <w:p w:rsidR="00C17F88" w:rsidRDefault="00BE761D">
      <w:pPr>
        <w:spacing w:line="560" w:lineRule="exact"/>
        <w:ind w:firstLine="640"/>
        <w:rPr>
          <w:rFonts w:ascii="仿宋" w:eastAsia="仿宋" w:hAnsi="仿宋"/>
          <w:sz w:val="32"/>
        </w:rPr>
      </w:pPr>
      <w:r>
        <w:rPr>
          <w:sz w:val="32"/>
        </w:rPr>
        <w:pict>
          <v:shapetype id="_x0000_t202" coordsize="21600,21600" o:spt="202" path="m,l,21600r21600,l21600,xe">
            <v:stroke joinstyle="miter"/>
            <v:path gradientshapeok="t" o:connecttype="rect"/>
          </v:shapetype>
          <v:shape id="_x0000_s1026" type="#_x0000_t202" style="position:absolute;left:0;text-align:left;margin-left:97.5pt;margin-top:26.75pt;width:251.55pt;height:33.35pt;z-index:251660288;mso-width-relative:page;mso-height-relative:page" strokecolor="white">
            <v:textbox>
              <w:txbxContent>
                <w:p w:rsidR="00D87A9E" w:rsidRDefault="00D87A9E">
                  <w:pPr>
                    <w:rPr>
                      <w:rFonts w:asciiTheme="minorEastAsia" w:eastAsiaTheme="minorEastAsia" w:hAnsiTheme="minorEastAsia" w:cstheme="minorEastAsia"/>
                      <w:sz w:val="28"/>
                      <w:szCs w:val="24"/>
                    </w:rPr>
                  </w:pPr>
                  <w:r>
                    <w:rPr>
                      <w:rFonts w:asciiTheme="minorEastAsia" w:eastAsiaTheme="minorEastAsia" w:hAnsiTheme="minorEastAsia" w:cstheme="minorEastAsia" w:hint="eastAsia"/>
                      <w:sz w:val="28"/>
                      <w:szCs w:val="24"/>
                    </w:rPr>
                    <w:t>2019年全区教育经费支出构成图</w:t>
                  </w:r>
                </w:p>
              </w:txbxContent>
            </v:textbox>
          </v:shape>
        </w:pict>
      </w:r>
      <w:r w:rsidR="00D87A9E">
        <w:rPr>
          <w:rFonts w:ascii="仿宋" w:eastAsia="仿宋" w:hAnsi="仿宋" w:hint="eastAsia"/>
          <w:noProof/>
          <w:sz w:val="32"/>
        </w:rPr>
        <w:drawing>
          <wp:anchor distT="0" distB="0" distL="114300" distR="114300" simplePos="0" relativeHeight="251659264" behindDoc="0" locked="0" layoutInCell="1" allowOverlap="1">
            <wp:simplePos x="0" y="0"/>
            <wp:positionH relativeFrom="column">
              <wp:posOffset>262890</wp:posOffset>
            </wp:positionH>
            <wp:positionV relativeFrom="paragraph">
              <wp:posOffset>212725</wp:posOffset>
            </wp:positionV>
            <wp:extent cx="4751705" cy="3016885"/>
            <wp:effectExtent l="0" t="0" r="10795" b="1206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C17F88" w:rsidRDefault="00D87A9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四、</w:t>
      </w:r>
      <w:r>
        <w:rPr>
          <w:rFonts w:ascii="黑体" w:eastAsia="黑体" w:hAnsi="黑体" w:hint="eastAsia"/>
          <w:sz w:val="32"/>
          <w:szCs w:val="30"/>
        </w:rPr>
        <w:t>2019年度财政拨款收入支出决算总体情况说明</w:t>
      </w:r>
    </w:p>
    <w:p w:rsidR="00C17F88" w:rsidRDefault="00D87A9E">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2019年财政拨款收入83,419.10万元,支出80,870.24万元，比2018年分别减少5058.75万元、1374.49万元，降低5.72%、降低1.67%。主要原因：一是退休人员转入社保</w:t>
      </w:r>
      <w:r>
        <w:rPr>
          <w:rFonts w:ascii="仿宋" w:eastAsia="仿宋" w:hAnsi="仿宋" w:hint="eastAsia"/>
          <w:sz w:val="32"/>
          <w:szCs w:val="30"/>
        </w:rPr>
        <w:lastRenderedPageBreak/>
        <w:t>开支，导致收入减少。二是校舍新建项目陆续完工并投入使用，导致收入减少。</w:t>
      </w:r>
    </w:p>
    <w:p w:rsidR="00C17F88" w:rsidRDefault="00D87A9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五、</w:t>
      </w:r>
      <w:r>
        <w:rPr>
          <w:rFonts w:ascii="黑体" w:eastAsia="黑体" w:hAnsi="黑体" w:hint="eastAsia"/>
          <w:sz w:val="32"/>
          <w:szCs w:val="30"/>
        </w:rPr>
        <w:t>2019年度一般公共预算财政拨款支出决算情况说明</w:t>
      </w:r>
    </w:p>
    <w:p w:rsidR="00C17F88" w:rsidRDefault="00D87A9E">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（一）财政拨款支出决算总体情况</w:t>
      </w:r>
    </w:p>
    <w:p w:rsidR="00C17F88" w:rsidRDefault="00D87A9E">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80,870.24万元，占本年支出合计的96.60%。与2018年相比，财政拨款支出减少1374.49万元，降低1.67%。主要原因：一是退休人员转入社保开支，导致收入减少。二是校舍新建项目陆续完工并投入使用，导致收入减少。</w:t>
      </w:r>
    </w:p>
    <w:p w:rsidR="00C17F88" w:rsidRDefault="00D87A9E">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（二）财政拨款支出决算结构情况</w:t>
      </w:r>
    </w:p>
    <w:p w:rsidR="00C17F88" w:rsidRDefault="00D87A9E">
      <w:pPr>
        <w:spacing w:line="560" w:lineRule="exact"/>
        <w:rPr>
          <w:rFonts w:ascii="仿宋" w:eastAsia="仿宋" w:hAnsi="仿宋"/>
          <w:sz w:val="32"/>
          <w:szCs w:val="30"/>
        </w:rPr>
      </w:pPr>
      <w:r>
        <w:rPr>
          <w:rFonts w:ascii="仿宋" w:eastAsia="仿宋" w:hAnsi="仿宋" w:hint="eastAsia"/>
          <w:sz w:val="32"/>
        </w:rPr>
        <w:t xml:space="preserve">   </w:t>
      </w:r>
      <w:r>
        <w:rPr>
          <w:rFonts w:ascii="仿宋" w:eastAsia="仿宋" w:hAnsi="仿宋" w:hint="eastAsia"/>
          <w:sz w:val="32"/>
          <w:szCs w:val="30"/>
        </w:rPr>
        <w:t>2019年财政拨款支出主要用于以下方面：教育支出80,760.05万元，占99.86%；其他支出110.19万元，占0.14%。</w:t>
      </w:r>
    </w:p>
    <w:p w:rsidR="00C17F88" w:rsidRDefault="00D87A9E">
      <w:pPr>
        <w:spacing w:line="560" w:lineRule="exact"/>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 xml:space="preserve"> （三）财政拨款支出决算具体情况</w:t>
      </w:r>
    </w:p>
    <w:p w:rsidR="00C17F88" w:rsidRDefault="00D87A9E">
      <w:pPr>
        <w:adjustRightInd w:val="0"/>
        <w:snapToGrid w:val="0"/>
        <w:spacing w:line="560" w:lineRule="exact"/>
        <w:ind w:firstLineChars="200" w:firstLine="640"/>
        <w:rPr>
          <w:rFonts w:ascii="仿宋" w:eastAsia="仿宋" w:hAnsi="仿宋"/>
          <w:sz w:val="32"/>
          <w:highlight w:val="yellow"/>
        </w:rPr>
      </w:pPr>
      <w:r>
        <w:rPr>
          <w:rFonts w:ascii="仿宋" w:eastAsia="仿宋" w:hAnsi="仿宋" w:hint="eastAsia"/>
          <w:sz w:val="32"/>
          <w:szCs w:val="30"/>
        </w:rPr>
        <w:t>2019年财政拨款支出年初预算为53,256.81万元，支出决算为80,870.24万元，完成年初预算的152%。主要原因：</w:t>
      </w:r>
      <w:r>
        <w:rPr>
          <w:rFonts w:ascii="仿宋_GB2312" w:eastAsia="仿宋_GB2312" w:hint="eastAsia"/>
          <w:sz w:val="32"/>
          <w:szCs w:val="32"/>
        </w:rPr>
        <w:t>2019年部分上级转移支付教育经费由上级部门进行了预算，没有纳入区本级预算。</w:t>
      </w:r>
    </w:p>
    <w:p w:rsidR="00C17F88" w:rsidRDefault="00D87A9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六、</w:t>
      </w:r>
      <w:r>
        <w:rPr>
          <w:rFonts w:ascii="黑体" w:eastAsia="黑体" w:hAnsi="黑体" w:hint="eastAsia"/>
          <w:sz w:val="32"/>
          <w:szCs w:val="30"/>
        </w:rPr>
        <w:t>2019年度一般公共预算财政拨款基本支出决算情况说明</w:t>
      </w:r>
    </w:p>
    <w:p w:rsidR="00C17F88" w:rsidRDefault="00D87A9E">
      <w:pPr>
        <w:spacing w:line="560" w:lineRule="exact"/>
        <w:ind w:firstLineChars="200" w:firstLine="640"/>
        <w:rPr>
          <w:rFonts w:ascii="仿宋" w:eastAsia="仿宋" w:hAnsi="仿宋"/>
          <w:sz w:val="32"/>
          <w:szCs w:val="30"/>
        </w:rPr>
      </w:pPr>
      <w:r>
        <w:rPr>
          <w:rFonts w:ascii="仿宋" w:eastAsia="仿宋" w:hAnsi="仿宋" w:hint="eastAsia"/>
          <w:sz w:val="32"/>
          <w:szCs w:val="30"/>
        </w:rPr>
        <w:t>2019年财政拨款基本支出61,233.98万元，其中：人员经费55,442.62万元，主要包括：基本工资、津贴补贴、奖金、绩效工资、机关事业单位基本养老保险缴费、职工基本医疗保险缴费、其他社会保障缴费、住房公积金、其他工资福利支出、退休费、抚恤金、生活补助、医疗费补助、助学</w:t>
      </w:r>
      <w:r>
        <w:rPr>
          <w:rFonts w:ascii="仿宋" w:eastAsia="仿宋" w:hAnsi="仿宋" w:hint="eastAsia"/>
          <w:sz w:val="32"/>
          <w:szCs w:val="30"/>
        </w:rPr>
        <w:lastRenderedPageBreak/>
        <w:t>金、奖励金、其他对个人和家庭的补助支出。</w:t>
      </w:r>
    </w:p>
    <w:p w:rsidR="00C17F88" w:rsidRDefault="00D87A9E">
      <w:pPr>
        <w:spacing w:line="560" w:lineRule="exact"/>
        <w:rPr>
          <w:rFonts w:ascii="仿宋" w:eastAsia="仿宋" w:hAnsi="仿宋"/>
          <w:sz w:val="32"/>
        </w:rPr>
      </w:pPr>
      <w:r>
        <w:rPr>
          <w:rFonts w:ascii="仿宋" w:eastAsia="仿宋" w:hAnsi="仿宋" w:hint="eastAsia"/>
          <w:sz w:val="32"/>
          <w:szCs w:val="30"/>
        </w:rPr>
        <w:t xml:space="preserve">    </w:t>
      </w:r>
      <w:r>
        <w:rPr>
          <w:rFonts w:ascii="仿宋" w:eastAsia="仿宋" w:hAnsi="仿宋" w:hint="eastAsia"/>
          <w:sz w:val="32"/>
        </w:rPr>
        <w:t>公用经费</w:t>
      </w:r>
      <w:r>
        <w:rPr>
          <w:rFonts w:ascii="仿宋" w:eastAsia="仿宋" w:hAnsi="仿宋" w:hint="eastAsia"/>
          <w:sz w:val="32"/>
          <w:szCs w:val="30"/>
        </w:rPr>
        <w:t>5,791.36</w:t>
      </w:r>
      <w:r>
        <w:rPr>
          <w:rFonts w:ascii="仿宋" w:eastAsia="仿宋" w:hAnsi="仿宋" w:hint="eastAsia"/>
          <w:sz w:val="32"/>
        </w:rPr>
        <w:t>万元，主要包括：办公费、印刷费、咨询费、手续费、水费、电费、邮电费、取暖费、物业管理费、差旅费、维修（护）费、租赁费、会议费、培训费、专用材料费、劳务费、委托业务费、工会经费、公务用车运行维护费、其他交通费用、税金及附加费用、其他商品和服务支出、办公设备购置、专用设备购置。</w:t>
      </w:r>
    </w:p>
    <w:p w:rsidR="00C17F88" w:rsidRDefault="00D87A9E">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七、</w:t>
      </w:r>
      <w:r>
        <w:rPr>
          <w:rFonts w:ascii="黑体" w:eastAsia="黑体" w:hAnsi="黑体" w:hint="eastAsia"/>
          <w:sz w:val="32"/>
          <w:szCs w:val="30"/>
        </w:rPr>
        <w:t>2019年度一般公共预算财政拨款“三公”经费支出决算情况说明</w:t>
      </w:r>
    </w:p>
    <w:p w:rsidR="00C17F88" w:rsidRDefault="00D87A9E">
      <w:pPr>
        <w:spacing w:line="560" w:lineRule="exact"/>
        <w:ind w:firstLineChars="200" w:firstLine="643"/>
        <w:rPr>
          <w:rFonts w:ascii="楷体" w:eastAsia="楷体" w:hAnsi="楷体"/>
          <w:b/>
          <w:sz w:val="32"/>
        </w:rPr>
      </w:pPr>
      <w:r>
        <w:rPr>
          <w:rFonts w:ascii="楷体" w:eastAsia="楷体" w:hAnsi="楷体" w:hint="eastAsia"/>
          <w:b/>
          <w:sz w:val="32"/>
        </w:rPr>
        <w:t>（一）“三公”经费财政拨款支出决算总体情况说明</w:t>
      </w:r>
    </w:p>
    <w:p w:rsidR="00C17F88" w:rsidRDefault="00D87A9E">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2019年“三公”经费财政拨款支出预算为4.00万元，支出决算为4.00万元，完成预算的100%。2019年“三公”经费支出决算数等于预算数的主要原因是我单位严格按照上级相关部门要求，减少“三公”经费支出。</w:t>
      </w:r>
    </w:p>
    <w:p w:rsidR="00C17F88" w:rsidRDefault="00D87A9E">
      <w:pPr>
        <w:spacing w:line="560" w:lineRule="exact"/>
        <w:ind w:firstLineChars="200" w:firstLine="640"/>
        <w:rPr>
          <w:rFonts w:ascii="仿宋" w:eastAsia="仿宋" w:hAnsi="仿宋"/>
          <w:sz w:val="32"/>
          <w:szCs w:val="30"/>
        </w:rPr>
      </w:pPr>
      <w:r>
        <w:rPr>
          <w:rFonts w:ascii="仿宋" w:eastAsia="仿宋" w:hAnsi="仿宋" w:hint="eastAsia"/>
          <w:sz w:val="32"/>
          <w:szCs w:val="30"/>
        </w:rPr>
        <w:t>2019年“三公”经费财政拨款支出决算数比2018年减少16.73万元，降低80.70%。其中：因公出国（境）费支出增加0.00万元，增长0.00%；公务用车购置及运行费支出减少15.76万元，降低79.76%；公务接待费支出减少0.97万元，降低100%。主要原因：一是公车改革后，公务用车运行费支出减少，二是我单位严格按照上级相关部门要求，减少不必要的公务接待。</w:t>
      </w:r>
    </w:p>
    <w:p w:rsidR="00C17F88" w:rsidRDefault="00D87A9E">
      <w:pPr>
        <w:spacing w:line="560" w:lineRule="exact"/>
        <w:ind w:firstLineChars="200" w:firstLine="643"/>
        <w:rPr>
          <w:rFonts w:ascii="楷体" w:eastAsia="楷体" w:hAnsi="楷体"/>
          <w:sz w:val="32"/>
        </w:rPr>
      </w:pPr>
      <w:r>
        <w:rPr>
          <w:rFonts w:ascii="楷体" w:eastAsia="楷体" w:hAnsi="楷体" w:hint="eastAsia"/>
          <w:b/>
          <w:sz w:val="32"/>
        </w:rPr>
        <w:t>（二）“三公”经费财政拨款支出决算具体情况说明</w:t>
      </w:r>
    </w:p>
    <w:p w:rsidR="00C17F88" w:rsidRDefault="00D87A9E">
      <w:pPr>
        <w:spacing w:line="560" w:lineRule="exact"/>
        <w:ind w:firstLineChars="200" w:firstLine="640"/>
        <w:rPr>
          <w:rFonts w:ascii="仿宋" w:eastAsia="仿宋" w:hAnsi="仿宋"/>
          <w:sz w:val="32"/>
          <w:szCs w:val="30"/>
        </w:rPr>
      </w:pPr>
      <w:r>
        <w:rPr>
          <w:rFonts w:ascii="仿宋" w:eastAsia="仿宋" w:hAnsi="仿宋" w:hint="eastAsia"/>
          <w:sz w:val="32"/>
          <w:szCs w:val="30"/>
        </w:rPr>
        <w:t>1.因公出国（境）费支出为0.00万元。2019年全系统未安排因公出国（境）培训。</w:t>
      </w:r>
    </w:p>
    <w:p w:rsidR="00C17F88" w:rsidRDefault="00D87A9E">
      <w:pPr>
        <w:spacing w:line="560" w:lineRule="exact"/>
        <w:ind w:firstLineChars="200" w:firstLine="640"/>
        <w:rPr>
          <w:rFonts w:ascii="仿宋" w:eastAsia="仿宋" w:hAnsi="仿宋"/>
          <w:sz w:val="32"/>
          <w:szCs w:val="30"/>
        </w:rPr>
      </w:pPr>
      <w:r>
        <w:rPr>
          <w:rFonts w:ascii="仿宋" w:eastAsia="仿宋" w:hAnsi="仿宋" w:hint="eastAsia"/>
          <w:sz w:val="32"/>
          <w:szCs w:val="30"/>
        </w:rPr>
        <w:lastRenderedPageBreak/>
        <w:t>2.公务用车购置及运行费支出4.00万元。其中公务用车购置0.00万元；公务用车运行支出为4.00万元，主要用于公务用车的过路、停车、保养及维修。2019年，开支财政拨款的公务用车保有量为2.00辆。</w:t>
      </w:r>
    </w:p>
    <w:p w:rsidR="00C17F88" w:rsidRDefault="00D87A9E">
      <w:pPr>
        <w:spacing w:line="560" w:lineRule="exact"/>
        <w:ind w:firstLineChars="200" w:firstLine="640"/>
        <w:rPr>
          <w:rFonts w:ascii="仿宋" w:eastAsia="仿宋" w:hAnsi="仿宋"/>
          <w:sz w:val="32"/>
          <w:szCs w:val="30"/>
        </w:rPr>
      </w:pPr>
      <w:r>
        <w:rPr>
          <w:rFonts w:ascii="仿宋" w:eastAsia="仿宋" w:hAnsi="仿宋" w:hint="eastAsia"/>
          <w:sz w:val="32"/>
          <w:szCs w:val="30"/>
        </w:rPr>
        <w:t>3.公务接待费支出0.00万元。</w:t>
      </w:r>
      <w:bookmarkStart w:id="6" w:name="_GoBack"/>
      <w:bookmarkEnd w:id="6"/>
    </w:p>
    <w:p w:rsidR="00C17F88" w:rsidRDefault="00D87A9E">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hint="eastAsia"/>
          <w:sz w:val="32"/>
          <w:szCs w:val="30"/>
        </w:rPr>
        <w:t>2019年度政府性基金预算财政拨款收入支出情况说明</w:t>
      </w:r>
    </w:p>
    <w:p w:rsidR="00C17F88" w:rsidRDefault="00D87A9E">
      <w:pPr>
        <w:spacing w:line="560" w:lineRule="exact"/>
        <w:ind w:firstLineChars="200" w:firstLine="640"/>
        <w:rPr>
          <w:rFonts w:ascii="仿宋" w:eastAsia="仿宋" w:hAnsi="仿宋"/>
          <w:sz w:val="32"/>
        </w:rPr>
      </w:pPr>
      <w:r>
        <w:rPr>
          <w:rFonts w:ascii="仿宋" w:eastAsia="仿宋" w:hAnsi="仿宋" w:hint="eastAsia"/>
          <w:sz w:val="32"/>
          <w:szCs w:val="30"/>
        </w:rPr>
        <w:t>2019年政府性基金年初结转和结余184.21万元；本年收入96.00万元；本年支出110.19万元，其中：基本支出27.93万元，占25.35%，项目支出82.26万元，占74.65%，基本支出中，人员经费0.00万元，占0.00%，公用经费27.93万元，占100 %；年末结转和结余 170.02万元。</w:t>
      </w:r>
    </w:p>
    <w:p w:rsidR="00C17F88" w:rsidRDefault="00D87A9E">
      <w:pPr>
        <w:spacing w:line="560" w:lineRule="exact"/>
        <w:ind w:firstLine="640"/>
        <w:rPr>
          <w:rFonts w:ascii="黑体" w:eastAsia="黑体" w:hAnsi="黑体"/>
          <w:sz w:val="32"/>
        </w:rPr>
      </w:pPr>
      <w:r>
        <w:rPr>
          <w:rFonts w:ascii="黑体" w:eastAsia="黑体" w:hAnsi="黑体" w:hint="eastAsia"/>
          <w:sz w:val="32"/>
        </w:rPr>
        <w:t>九、其他重要事项的情况说明</w:t>
      </w:r>
    </w:p>
    <w:p w:rsidR="00C17F88" w:rsidRDefault="00D87A9E">
      <w:pPr>
        <w:spacing w:line="560" w:lineRule="exact"/>
        <w:ind w:firstLineChars="200" w:firstLine="643"/>
        <w:rPr>
          <w:rFonts w:ascii="楷体" w:eastAsia="楷体" w:hAnsi="楷体"/>
          <w:b/>
          <w:sz w:val="32"/>
        </w:rPr>
      </w:pPr>
      <w:r>
        <w:rPr>
          <w:rFonts w:ascii="楷体" w:eastAsia="楷体" w:hAnsi="楷体" w:hint="eastAsia"/>
          <w:b/>
          <w:sz w:val="32"/>
        </w:rPr>
        <w:t>（一）机关运行经费支出情况</w:t>
      </w:r>
    </w:p>
    <w:p w:rsidR="00C17F88" w:rsidRDefault="00D87A9E">
      <w:pPr>
        <w:spacing w:line="560" w:lineRule="exact"/>
        <w:ind w:firstLineChars="200" w:firstLine="640"/>
        <w:rPr>
          <w:rFonts w:ascii="仿宋" w:eastAsia="仿宋" w:hAnsi="仿宋"/>
          <w:sz w:val="32"/>
          <w:szCs w:val="30"/>
        </w:rPr>
      </w:pPr>
      <w:r>
        <w:rPr>
          <w:rFonts w:ascii="仿宋" w:eastAsia="仿宋" w:hAnsi="仿宋" w:hint="eastAsia"/>
          <w:sz w:val="32"/>
        </w:rPr>
        <w:t>2019年长春市双阳区教育局（本级）机关运行经费财政拨款支出</w:t>
      </w:r>
      <w:r>
        <w:rPr>
          <w:rFonts w:ascii="仿宋" w:eastAsia="仿宋" w:hAnsi="仿宋" w:hint="eastAsia"/>
          <w:sz w:val="32"/>
          <w:szCs w:val="30"/>
        </w:rPr>
        <w:t>103.07</w:t>
      </w:r>
      <w:r>
        <w:rPr>
          <w:rFonts w:ascii="仿宋" w:eastAsia="仿宋" w:hAnsi="仿宋" w:hint="eastAsia"/>
          <w:sz w:val="32"/>
        </w:rPr>
        <w:t>万元，比2018年减少</w:t>
      </w:r>
      <w:r>
        <w:rPr>
          <w:rFonts w:ascii="仿宋" w:eastAsia="仿宋" w:hAnsi="仿宋" w:hint="eastAsia"/>
          <w:sz w:val="32"/>
          <w:szCs w:val="30"/>
        </w:rPr>
        <w:t>6.38</w:t>
      </w:r>
      <w:r>
        <w:rPr>
          <w:rFonts w:ascii="仿宋" w:eastAsia="仿宋" w:hAnsi="仿宋" w:hint="eastAsia"/>
          <w:sz w:val="32"/>
        </w:rPr>
        <w:t>万元，降低5.83</w:t>
      </w:r>
      <w:r>
        <w:rPr>
          <w:rFonts w:ascii="仿宋" w:eastAsia="仿宋" w:hAnsi="仿宋" w:hint="eastAsia"/>
          <w:sz w:val="32"/>
          <w:szCs w:val="30"/>
        </w:rPr>
        <w:t>%</w:t>
      </w:r>
      <w:r>
        <w:rPr>
          <w:rFonts w:ascii="仿宋" w:eastAsia="仿宋" w:hAnsi="仿宋" w:hint="eastAsia"/>
          <w:sz w:val="32"/>
        </w:rPr>
        <w:t>。主要原因：一</w:t>
      </w:r>
      <w:r>
        <w:rPr>
          <w:rFonts w:ascii="仿宋_GB2312" w:eastAsia="仿宋_GB2312" w:hint="eastAsia"/>
          <w:sz w:val="32"/>
          <w:szCs w:val="32"/>
        </w:rPr>
        <w:t>是减少了公务接待；二是减少了部分未纳入预算的业务活动。</w:t>
      </w:r>
    </w:p>
    <w:p w:rsidR="00C17F88" w:rsidRDefault="00D87A9E">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（二）政府采购支出情况</w:t>
      </w:r>
    </w:p>
    <w:p w:rsidR="00C17F88" w:rsidRDefault="00D87A9E">
      <w:pPr>
        <w:spacing w:line="560" w:lineRule="exact"/>
        <w:ind w:firstLineChars="200" w:firstLine="640"/>
        <w:rPr>
          <w:rFonts w:ascii="仿宋" w:eastAsia="仿宋" w:hAnsi="仿宋"/>
          <w:sz w:val="32"/>
        </w:rPr>
      </w:pPr>
      <w:r>
        <w:rPr>
          <w:rFonts w:ascii="仿宋" w:eastAsia="仿宋" w:hAnsi="仿宋" w:hint="eastAsia"/>
          <w:sz w:val="32"/>
        </w:rPr>
        <w:t>2019年政府采购支出总额</w:t>
      </w:r>
      <w:r>
        <w:rPr>
          <w:rFonts w:ascii="仿宋" w:eastAsia="仿宋" w:hAnsi="仿宋" w:hint="eastAsia"/>
          <w:sz w:val="32"/>
          <w:szCs w:val="30"/>
        </w:rPr>
        <w:t>7,409.11</w:t>
      </w:r>
      <w:r>
        <w:rPr>
          <w:rFonts w:ascii="仿宋" w:eastAsia="仿宋" w:hAnsi="仿宋" w:hint="eastAsia"/>
          <w:sz w:val="32"/>
        </w:rPr>
        <w:t>万元，其中：政府采购货物支出</w:t>
      </w:r>
      <w:r>
        <w:rPr>
          <w:rFonts w:ascii="仿宋" w:eastAsia="仿宋" w:hAnsi="仿宋" w:hint="eastAsia"/>
          <w:sz w:val="32"/>
          <w:szCs w:val="30"/>
        </w:rPr>
        <w:t>1,701.58</w:t>
      </w:r>
      <w:r>
        <w:rPr>
          <w:rFonts w:ascii="仿宋" w:eastAsia="仿宋" w:hAnsi="仿宋" w:hint="eastAsia"/>
          <w:sz w:val="32"/>
        </w:rPr>
        <w:t>万元、政府采购工程支出</w:t>
      </w:r>
      <w:r>
        <w:rPr>
          <w:rFonts w:ascii="仿宋" w:eastAsia="仿宋" w:hAnsi="仿宋" w:hint="eastAsia"/>
          <w:sz w:val="32"/>
          <w:szCs w:val="30"/>
        </w:rPr>
        <w:t>5,707.53</w:t>
      </w:r>
      <w:r>
        <w:rPr>
          <w:rFonts w:ascii="仿宋" w:eastAsia="仿宋" w:hAnsi="仿宋" w:hint="eastAsia"/>
          <w:sz w:val="32"/>
        </w:rPr>
        <w:t>万元、政府采购服务支出</w:t>
      </w:r>
      <w:r>
        <w:rPr>
          <w:rFonts w:ascii="仿宋" w:eastAsia="仿宋" w:hAnsi="仿宋" w:hint="eastAsia"/>
          <w:sz w:val="32"/>
          <w:szCs w:val="30"/>
        </w:rPr>
        <w:t>0.00</w:t>
      </w:r>
      <w:r>
        <w:rPr>
          <w:rFonts w:ascii="仿宋" w:eastAsia="仿宋" w:hAnsi="仿宋" w:hint="eastAsia"/>
          <w:sz w:val="32"/>
        </w:rPr>
        <w:t>万元。授予中小企业合同金额</w:t>
      </w:r>
      <w:r>
        <w:rPr>
          <w:rFonts w:ascii="仿宋" w:eastAsia="仿宋" w:hAnsi="仿宋" w:hint="eastAsia"/>
          <w:sz w:val="32"/>
          <w:szCs w:val="30"/>
        </w:rPr>
        <w:t>0.00</w:t>
      </w:r>
      <w:r>
        <w:rPr>
          <w:rFonts w:ascii="仿宋" w:eastAsia="仿宋" w:hAnsi="仿宋" w:hint="eastAsia"/>
          <w:sz w:val="32"/>
        </w:rPr>
        <w:t>万元，占政府采购支出总额的</w:t>
      </w:r>
      <w:r>
        <w:rPr>
          <w:rFonts w:ascii="仿宋" w:eastAsia="仿宋" w:hAnsi="仿宋" w:hint="eastAsia"/>
          <w:sz w:val="32"/>
          <w:szCs w:val="30"/>
        </w:rPr>
        <w:t>0.00</w:t>
      </w:r>
      <w:r>
        <w:rPr>
          <w:rFonts w:ascii="仿宋" w:eastAsia="仿宋" w:hAnsi="仿宋" w:hint="eastAsia"/>
          <w:sz w:val="32"/>
        </w:rPr>
        <w:t xml:space="preserve"> %。</w:t>
      </w:r>
    </w:p>
    <w:p w:rsidR="00C17F88" w:rsidRDefault="00D87A9E">
      <w:pPr>
        <w:spacing w:line="560" w:lineRule="exact"/>
        <w:rPr>
          <w:rFonts w:ascii="楷体" w:eastAsia="楷体" w:hAnsi="楷体"/>
          <w:b/>
          <w:sz w:val="32"/>
        </w:rPr>
      </w:pPr>
      <w:r>
        <w:rPr>
          <w:rFonts w:ascii="楷体" w:eastAsia="楷体" w:hAnsi="楷体" w:hint="eastAsia"/>
          <w:sz w:val="32"/>
        </w:rPr>
        <w:t xml:space="preserve">    </w:t>
      </w:r>
      <w:r>
        <w:rPr>
          <w:rFonts w:ascii="楷体" w:eastAsia="楷体" w:hAnsi="楷体" w:hint="eastAsia"/>
          <w:b/>
          <w:sz w:val="32"/>
        </w:rPr>
        <w:t>（三）国有资产占用情况</w:t>
      </w:r>
    </w:p>
    <w:p w:rsidR="00C17F88" w:rsidRDefault="00D87A9E">
      <w:pPr>
        <w:widowControl/>
        <w:spacing w:line="560" w:lineRule="exact"/>
        <w:ind w:firstLineChars="200" w:firstLine="640"/>
        <w:jc w:val="left"/>
        <w:rPr>
          <w:rFonts w:ascii="方正小标宋_GBK" w:eastAsia="方正小标宋_GBK" w:hAnsi="方正小标宋简体"/>
          <w:sz w:val="44"/>
        </w:rPr>
      </w:pPr>
      <w:r>
        <w:rPr>
          <w:rFonts w:ascii="仿宋" w:eastAsia="仿宋" w:hAnsi="仿宋" w:hint="eastAsia"/>
          <w:sz w:val="32"/>
        </w:rPr>
        <w:lastRenderedPageBreak/>
        <w:t>截至2019年12月31日，</w:t>
      </w:r>
      <w:proofErr w:type="gramStart"/>
      <w:r>
        <w:rPr>
          <w:rFonts w:ascii="仿宋" w:eastAsia="仿宋" w:hAnsi="仿宋" w:hint="eastAsia"/>
          <w:sz w:val="32"/>
        </w:rPr>
        <w:t>我部门</w:t>
      </w:r>
      <w:proofErr w:type="gramEnd"/>
      <w:r>
        <w:rPr>
          <w:rFonts w:ascii="仿宋" w:eastAsia="仿宋" w:hAnsi="仿宋" w:hint="eastAsia"/>
          <w:sz w:val="32"/>
        </w:rPr>
        <w:t>共有车辆25</w:t>
      </w:r>
      <w:r>
        <w:rPr>
          <w:rFonts w:ascii="仿宋" w:eastAsia="仿宋" w:hAnsi="仿宋" w:hint="eastAsia"/>
          <w:sz w:val="32"/>
          <w:szCs w:val="30"/>
        </w:rPr>
        <w:t>.00</w:t>
      </w:r>
      <w:r>
        <w:rPr>
          <w:rFonts w:ascii="仿宋" w:eastAsia="仿宋" w:hAnsi="仿宋" w:hint="eastAsia"/>
          <w:sz w:val="32"/>
        </w:rPr>
        <w:t>辆，</w:t>
      </w:r>
      <w:r>
        <w:rPr>
          <w:rFonts w:ascii="仿宋" w:eastAsia="仿宋" w:hAnsi="仿宋" w:hint="eastAsia"/>
          <w:sz w:val="32"/>
          <w:szCs w:val="30"/>
        </w:rPr>
        <w:t>其中</w:t>
      </w:r>
      <w:r w:rsidR="00E11E3D">
        <w:rPr>
          <w:rFonts w:ascii="仿宋" w:eastAsia="仿宋" w:hAnsi="仿宋" w:hint="eastAsia"/>
          <w:sz w:val="32"/>
          <w:szCs w:val="30"/>
        </w:rPr>
        <w:t>，</w:t>
      </w:r>
      <w:r>
        <w:rPr>
          <w:rFonts w:ascii="仿宋" w:eastAsia="仿宋" w:hAnsi="仿宋" w:hint="eastAsia"/>
          <w:sz w:val="32"/>
          <w:szCs w:val="30"/>
        </w:rPr>
        <w:t>其他用车25.00辆</w:t>
      </w:r>
      <w:r w:rsidR="00E11E3D">
        <w:rPr>
          <w:rFonts w:ascii="仿宋" w:eastAsia="仿宋" w:hAnsi="仿宋" w:hint="eastAsia"/>
          <w:sz w:val="32"/>
          <w:szCs w:val="30"/>
        </w:rPr>
        <w:t>（</w:t>
      </w:r>
      <w:r w:rsidR="00E11E3D">
        <w:rPr>
          <w:rFonts w:ascii="仿宋" w:eastAsia="仿宋" w:hAnsi="仿宋" w:hint="eastAsia"/>
          <w:sz w:val="32"/>
          <w:szCs w:val="30"/>
        </w:rPr>
        <w:t>其他用车主要是</w:t>
      </w:r>
      <w:r w:rsidR="00E11E3D">
        <w:rPr>
          <w:rFonts w:ascii="仿宋_GB2312" w:eastAsia="仿宋_GB2312" w:hint="eastAsia"/>
          <w:sz w:val="32"/>
          <w:szCs w:val="32"/>
        </w:rPr>
        <w:t>接送农村中小学学生上下学的校车</w:t>
      </w:r>
      <w:r w:rsidR="00E11E3D">
        <w:rPr>
          <w:rFonts w:ascii="仿宋" w:eastAsia="仿宋" w:hAnsi="仿宋" w:hint="eastAsia"/>
          <w:sz w:val="32"/>
          <w:szCs w:val="30"/>
        </w:rPr>
        <w:t>）</w:t>
      </w:r>
      <w:r>
        <w:rPr>
          <w:rFonts w:ascii="仿宋" w:eastAsia="仿宋" w:hAnsi="仿宋" w:hint="eastAsia"/>
          <w:sz w:val="32"/>
          <w:szCs w:val="30"/>
        </w:rPr>
        <w:t>；单位价值50万元以上通用设备</w:t>
      </w:r>
      <w:r w:rsidR="00E11E3D">
        <w:rPr>
          <w:rFonts w:ascii="仿宋" w:eastAsia="仿宋" w:hAnsi="仿宋" w:hint="eastAsia"/>
          <w:sz w:val="32"/>
          <w:szCs w:val="30"/>
        </w:rPr>
        <w:t>1</w:t>
      </w:r>
      <w:r>
        <w:rPr>
          <w:rFonts w:ascii="仿宋" w:eastAsia="仿宋" w:hAnsi="仿宋" w:hint="eastAsia"/>
          <w:sz w:val="32"/>
          <w:szCs w:val="30"/>
        </w:rPr>
        <w:t>台（套），单位价值100万元以上专用设备</w:t>
      </w:r>
      <w:r w:rsidR="00E11E3D">
        <w:rPr>
          <w:rFonts w:ascii="仿宋" w:eastAsia="仿宋" w:hAnsi="仿宋" w:hint="eastAsia"/>
          <w:sz w:val="32"/>
          <w:szCs w:val="30"/>
        </w:rPr>
        <w:t>0</w:t>
      </w:r>
      <w:r>
        <w:rPr>
          <w:rFonts w:ascii="仿宋" w:eastAsia="仿宋" w:hAnsi="仿宋" w:hint="eastAsia"/>
          <w:sz w:val="32"/>
          <w:szCs w:val="30"/>
        </w:rPr>
        <w:t>台（套）。</w:t>
      </w:r>
    </w:p>
    <w:p w:rsidR="00C17F88" w:rsidRDefault="00D87A9E">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C17F88" w:rsidRDefault="00D87A9E">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hint="eastAsia"/>
          <w:sz w:val="44"/>
        </w:rPr>
        <w:lastRenderedPageBreak/>
        <w:t>第四部分  名词解释</w:t>
      </w:r>
    </w:p>
    <w:p w:rsidR="00C17F88" w:rsidRDefault="00C17F88">
      <w:pPr>
        <w:spacing w:line="560" w:lineRule="exact"/>
        <w:ind w:firstLineChars="200" w:firstLine="640"/>
        <w:rPr>
          <w:rFonts w:ascii="仿宋" w:eastAsia="仿宋" w:hAnsi="仿宋"/>
          <w:sz w:val="32"/>
        </w:rPr>
      </w:pPr>
    </w:p>
    <w:p w:rsidR="00C17F88" w:rsidRDefault="00D87A9E">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C17F88" w:rsidRDefault="00FC6C46">
      <w:pPr>
        <w:spacing w:line="560" w:lineRule="exact"/>
        <w:ind w:firstLineChars="200" w:firstLine="643"/>
        <w:rPr>
          <w:rFonts w:ascii="仿宋" w:eastAsia="仿宋" w:hAnsi="仿宋"/>
          <w:sz w:val="32"/>
        </w:rPr>
      </w:pPr>
      <w:r>
        <w:rPr>
          <w:rFonts w:ascii="仿宋" w:eastAsia="仿宋" w:hAnsi="仿宋" w:hint="eastAsia"/>
          <w:b/>
          <w:bCs/>
          <w:sz w:val="32"/>
        </w:rPr>
        <w:t>二</w:t>
      </w:r>
      <w:r w:rsidR="00D87A9E">
        <w:rPr>
          <w:rFonts w:ascii="仿宋" w:eastAsia="仿宋" w:hAnsi="仿宋" w:hint="eastAsia"/>
          <w:b/>
          <w:bCs/>
          <w:sz w:val="32"/>
        </w:rPr>
        <w:t>、事业收入：</w:t>
      </w:r>
      <w:r w:rsidR="00D87A9E">
        <w:rPr>
          <w:rFonts w:ascii="仿宋" w:eastAsia="仿宋" w:hAnsi="仿宋" w:hint="eastAsia"/>
          <w:sz w:val="32"/>
        </w:rPr>
        <w:t>指纳入</w:t>
      </w:r>
      <w:r w:rsidR="00D87A9E">
        <w:rPr>
          <w:rFonts w:ascii="仿宋" w:eastAsia="仿宋" w:hAnsi="仿宋" w:hint="eastAsia"/>
          <w:sz w:val="32"/>
          <w:szCs w:val="30"/>
        </w:rPr>
        <w:t>长春市双阳区教育局部门预算的事业</w:t>
      </w:r>
      <w:r w:rsidR="00D87A9E">
        <w:rPr>
          <w:rFonts w:ascii="仿宋" w:eastAsia="仿宋" w:hAnsi="仿宋" w:hint="eastAsia"/>
          <w:sz w:val="32"/>
        </w:rPr>
        <w:t>单位开展专业业务活动及其辅助活动取得的收入；包括长春市第一五〇中学、长春市第一五一中学、长春市双阳职业教育中心收到的财政专户实际核拨的教育收费等资金。</w:t>
      </w:r>
    </w:p>
    <w:p w:rsidR="00C17F88" w:rsidRDefault="00FC6C46">
      <w:pPr>
        <w:autoSpaceDN w:val="0"/>
        <w:spacing w:line="560" w:lineRule="exact"/>
        <w:ind w:firstLineChars="200" w:firstLine="643"/>
        <w:rPr>
          <w:rFonts w:ascii="仿宋" w:eastAsia="仿宋" w:hAnsi="仿宋"/>
          <w:sz w:val="32"/>
          <w:highlight w:val="yellow"/>
        </w:rPr>
      </w:pPr>
      <w:r>
        <w:rPr>
          <w:rFonts w:ascii="仿宋" w:eastAsia="仿宋" w:hAnsi="仿宋" w:hint="eastAsia"/>
          <w:b/>
          <w:bCs/>
          <w:sz w:val="32"/>
        </w:rPr>
        <w:t>三</w:t>
      </w:r>
      <w:r w:rsidR="00D87A9E">
        <w:rPr>
          <w:rFonts w:ascii="仿宋" w:eastAsia="仿宋" w:hAnsi="仿宋" w:hint="eastAsia"/>
          <w:b/>
          <w:bCs/>
          <w:sz w:val="32"/>
        </w:rPr>
        <w:t>、其他收入：</w:t>
      </w:r>
      <w:r w:rsidR="00D87A9E">
        <w:rPr>
          <w:rFonts w:ascii="仿宋" w:eastAsia="仿宋" w:hAnsi="仿宋" w:hint="eastAsia"/>
          <w:sz w:val="32"/>
        </w:rPr>
        <w:t>指除上述收入以外的各项收入。包括未纳入财政预算或财政专户管理的银行存款利息收入、租金收入、捐赠收入，从省财政以外的同级单位取得的经费、从非省财政取得的经费。</w:t>
      </w:r>
    </w:p>
    <w:p w:rsidR="00C17F88" w:rsidRDefault="00FC6C46">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00D87A9E">
        <w:rPr>
          <w:rFonts w:ascii="仿宋" w:eastAsia="仿宋" w:hAnsi="仿宋" w:hint="eastAsia"/>
          <w:b/>
          <w:bCs/>
          <w:sz w:val="32"/>
        </w:rPr>
        <w:t>、</w:t>
      </w:r>
      <w:r w:rsidR="00D87A9E">
        <w:rPr>
          <w:rFonts w:ascii="仿宋" w:eastAsia="仿宋" w:hAnsi="仿宋"/>
          <w:b/>
          <w:bCs/>
          <w:sz w:val="32"/>
        </w:rPr>
        <w:t>基本支出：</w:t>
      </w:r>
      <w:r w:rsidR="00D87A9E">
        <w:rPr>
          <w:rFonts w:ascii="仿宋" w:eastAsia="仿宋" w:hAnsi="仿宋" w:hint="eastAsia"/>
          <w:sz w:val="32"/>
        </w:rPr>
        <w:t>指</w:t>
      </w:r>
      <w:r w:rsidR="00D87A9E">
        <w:rPr>
          <w:rFonts w:ascii="仿宋" w:eastAsia="仿宋" w:hAnsi="仿宋"/>
          <w:sz w:val="32"/>
        </w:rPr>
        <w:t>为保障机构正常运转、完成日常工作任务而发生的</w:t>
      </w:r>
      <w:r w:rsidR="00D87A9E">
        <w:rPr>
          <w:rFonts w:ascii="仿宋" w:eastAsia="仿宋" w:hAnsi="仿宋" w:hint="eastAsia"/>
          <w:sz w:val="32"/>
        </w:rPr>
        <w:t>人员支出和公用支出等</w:t>
      </w:r>
      <w:r w:rsidR="00D87A9E">
        <w:rPr>
          <w:rFonts w:ascii="仿宋" w:eastAsia="仿宋" w:hAnsi="仿宋"/>
          <w:sz w:val="32"/>
        </w:rPr>
        <w:t>各项支出。</w:t>
      </w:r>
    </w:p>
    <w:p w:rsidR="00C17F88" w:rsidRDefault="00FC6C46">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sidR="00D87A9E">
        <w:rPr>
          <w:rFonts w:ascii="仿宋" w:eastAsia="仿宋" w:hAnsi="仿宋" w:hint="eastAsia"/>
          <w:b/>
          <w:bCs/>
          <w:sz w:val="32"/>
        </w:rPr>
        <w:t>、</w:t>
      </w:r>
      <w:r w:rsidR="00D87A9E">
        <w:rPr>
          <w:rFonts w:ascii="仿宋" w:eastAsia="仿宋" w:hAnsi="仿宋"/>
          <w:b/>
          <w:bCs/>
          <w:sz w:val="32"/>
        </w:rPr>
        <w:t>项目支出：</w:t>
      </w:r>
      <w:r w:rsidR="00D87A9E">
        <w:rPr>
          <w:rFonts w:ascii="仿宋" w:eastAsia="仿宋" w:hAnsi="仿宋" w:hint="eastAsia"/>
          <w:sz w:val="32"/>
        </w:rPr>
        <w:t>指</w:t>
      </w:r>
      <w:r w:rsidR="00D87A9E">
        <w:rPr>
          <w:rFonts w:ascii="仿宋" w:eastAsia="仿宋" w:hAnsi="仿宋"/>
          <w:sz w:val="32"/>
        </w:rPr>
        <w:t>在基本支出之外为完成特定行政工作任务</w:t>
      </w:r>
      <w:r w:rsidR="00D87A9E">
        <w:rPr>
          <w:rFonts w:ascii="仿宋" w:eastAsia="仿宋" w:hAnsi="仿宋" w:hint="eastAsia"/>
          <w:sz w:val="32"/>
        </w:rPr>
        <w:t>和</w:t>
      </w:r>
      <w:r w:rsidR="00D87A9E">
        <w:rPr>
          <w:rFonts w:ascii="仿宋" w:eastAsia="仿宋" w:hAnsi="仿宋"/>
          <w:sz w:val="32"/>
        </w:rPr>
        <w:t>事业发展目标</w:t>
      </w:r>
      <w:r w:rsidR="00D87A9E">
        <w:rPr>
          <w:rFonts w:ascii="仿宋" w:eastAsia="仿宋" w:hAnsi="仿宋" w:hint="eastAsia"/>
          <w:sz w:val="32"/>
        </w:rPr>
        <w:t>所</w:t>
      </w:r>
      <w:r w:rsidR="00D87A9E">
        <w:rPr>
          <w:rFonts w:ascii="仿宋" w:eastAsia="仿宋" w:hAnsi="仿宋"/>
          <w:sz w:val="32"/>
        </w:rPr>
        <w:t>发生的各项支出。</w:t>
      </w:r>
    </w:p>
    <w:p w:rsidR="00C17F88" w:rsidRDefault="00FC6C46">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sidR="00D87A9E">
        <w:rPr>
          <w:rFonts w:ascii="仿宋" w:eastAsia="仿宋" w:hAnsi="仿宋" w:hint="eastAsia"/>
          <w:b/>
          <w:bCs/>
          <w:sz w:val="32"/>
        </w:rPr>
        <w:t>、</w:t>
      </w:r>
      <w:r w:rsidR="00D87A9E">
        <w:rPr>
          <w:rFonts w:ascii="仿宋" w:eastAsia="仿宋" w:hAnsi="仿宋"/>
          <w:b/>
          <w:bCs/>
          <w:sz w:val="32"/>
        </w:rPr>
        <w:t>用事业基金弥补收支差额：</w:t>
      </w:r>
      <w:r w:rsidR="00D87A9E">
        <w:rPr>
          <w:rFonts w:ascii="仿宋" w:eastAsia="仿宋" w:hAnsi="仿宋" w:hint="eastAsia"/>
          <w:sz w:val="32"/>
        </w:rPr>
        <w:t>指事业单位在用当年的财政拨款收入、财政拨款结转和结余资金、事业收入和其他收入不足以安排当年支出的情况下，使用以前年度积累的事业基金（事业单位当年收支相抵后分配用于弥补以后年度收支差额的基金）弥补本年度收支缺口的资金。</w:t>
      </w:r>
    </w:p>
    <w:p w:rsidR="00C17F88" w:rsidRDefault="00FC6C46">
      <w:pPr>
        <w:autoSpaceDN w:val="0"/>
        <w:spacing w:line="560" w:lineRule="exact"/>
        <w:ind w:firstLineChars="200" w:firstLine="643"/>
        <w:rPr>
          <w:rFonts w:ascii="仿宋" w:eastAsia="仿宋" w:hAnsi="仿宋"/>
          <w:sz w:val="32"/>
        </w:rPr>
      </w:pPr>
      <w:r>
        <w:rPr>
          <w:rFonts w:ascii="仿宋" w:eastAsia="仿宋" w:hAnsi="仿宋" w:hint="eastAsia"/>
          <w:b/>
          <w:bCs/>
          <w:sz w:val="32"/>
        </w:rPr>
        <w:t>七</w:t>
      </w:r>
      <w:r w:rsidR="00D87A9E">
        <w:rPr>
          <w:rFonts w:ascii="仿宋" w:eastAsia="仿宋" w:hAnsi="仿宋" w:hint="eastAsia"/>
          <w:b/>
          <w:bCs/>
          <w:sz w:val="32"/>
        </w:rPr>
        <w:t>、</w:t>
      </w:r>
      <w:r w:rsidR="00D87A9E">
        <w:rPr>
          <w:rFonts w:ascii="仿宋" w:eastAsia="仿宋" w:hAnsi="仿宋"/>
          <w:b/>
          <w:bCs/>
          <w:sz w:val="32"/>
        </w:rPr>
        <w:t>年初结转和结余</w:t>
      </w:r>
      <w:r w:rsidR="00D87A9E">
        <w:rPr>
          <w:rFonts w:ascii="仿宋" w:eastAsia="仿宋" w:hAnsi="仿宋" w:hint="eastAsia"/>
          <w:b/>
          <w:bCs/>
          <w:sz w:val="32"/>
        </w:rPr>
        <w:t>：</w:t>
      </w:r>
      <w:r w:rsidR="00D87A9E">
        <w:rPr>
          <w:rFonts w:ascii="仿宋" w:eastAsia="仿宋" w:hAnsi="仿宋" w:hint="eastAsia"/>
          <w:sz w:val="32"/>
        </w:rPr>
        <w:t>指以前年度尚未完成、结转到本年仍按原规定用途继续使用的资金，或项目已完成等产生的结余资金。</w:t>
      </w:r>
    </w:p>
    <w:p w:rsidR="00C17F88" w:rsidRDefault="00FC6C46">
      <w:pPr>
        <w:autoSpaceDN w:val="0"/>
        <w:spacing w:line="560" w:lineRule="exact"/>
        <w:ind w:firstLineChars="200" w:firstLine="643"/>
        <w:rPr>
          <w:rFonts w:ascii="仿宋" w:eastAsia="仿宋" w:hAnsi="仿宋"/>
          <w:sz w:val="32"/>
        </w:rPr>
      </w:pPr>
      <w:r>
        <w:rPr>
          <w:rFonts w:ascii="仿宋" w:eastAsia="仿宋" w:hAnsi="仿宋" w:hint="eastAsia"/>
          <w:b/>
          <w:bCs/>
          <w:sz w:val="32"/>
        </w:rPr>
        <w:t>八</w:t>
      </w:r>
      <w:r w:rsidR="00D87A9E">
        <w:rPr>
          <w:rFonts w:ascii="仿宋" w:eastAsia="仿宋" w:hAnsi="仿宋" w:hint="eastAsia"/>
          <w:b/>
          <w:bCs/>
          <w:sz w:val="32"/>
        </w:rPr>
        <w:t>、</w:t>
      </w:r>
      <w:r w:rsidR="00D87A9E">
        <w:rPr>
          <w:rFonts w:ascii="仿宋" w:eastAsia="仿宋" w:hAnsi="仿宋"/>
          <w:b/>
          <w:bCs/>
          <w:sz w:val="32"/>
        </w:rPr>
        <w:t>结余分配：</w:t>
      </w:r>
      <w:r w:rsidR="00D87A9E">
        <w:rPr>
          <w:rFonts w:ascii="仿宋" w:eastAsia="仿宋" w:hAnsi="仿宋" w:hint="eastAsia"/>
          <w:sz w:val="32"/>
        </w:rPr>
        <w:t>指事业单位按照事业单位会计制度规定，</w:t>
      </w:r>
      <w:r w:rsidR="00D87A9E">
        <w:rPr>
          <w:rFonts w:ascii="仿宋" w:eastAsia="仿宋" w:hAnsi="仿宋" w:hint="eastAsia"/>
          <w:sz w:val="32"/>
        </w:rPr>
        <w:lastRenderedPageBreak/>
        <w:t>从非财政补助结余中分配的事业基金和职工福利基金等。</w:t>
      </w:r>
    </w:p>
    <w:p w:rsidR="00C17F88" w:rsidRDefault="00FC6C46">
      <w:pPr>
        <w:autoSpaceDN w:val="0"/>
        <w:spacing w:line="560" w:lineRule="exact"/>
        <w:ind w:firstLineChars="200" w:firstLine="643"/>
        <w:rPr>
          <w:rFonts w:ascii="仿宋" w:eastAsia="仿宋" w:hAnsi="仿宋"/>
          <w:sz w:val="32"/>
        </w:rPr>
      </w:pPr>
      <w:r>
        <w:rPr>
          <w:rFonts w:ascii="仿宋" w:eastAsia="仿宋" w:hAnsi="仿宋" w:hint="eastAsia"/>
          <w:b/>
          <w:bCs/>
          <w:sz w:val="32"/>
        </w:rPr>
        <w:t>九</w:t>
      </w:r>
      <w:r w:rsidR="00D87A9E">
        <w:rPr>
          <w:rFonts w:ascii="仿宋" w:eastAsia="仿宋" w:hAnsi="仿宋" w:hint="eastAsia"/>
          <w:b/>
          <w:bCs/>
          <w:sz w:val="32"/>
        </w:rPr>
        <w:t>、</w:t>
      </w:r>
      <w:r w:rsidR="00D87A9E">
        <w:rPr>
          <w:rFonts w:ascii="仿宋" w:eastAsia="仿宋" w:hAnsi="仿宋"/>
          <w:b/>
          <w:bCs/>
          <w:sz w:val="32"/>
        </w:rPr>
        <w:t>年末结转和结余：</w:t>
      </w:r>
      <w:r w:rsidR="00D87A9E">
        <w:rPr>
          <w:rFonts w:ascii="仿宋" w:eastAsia="仿宋" w:hAnsi="仿宋" w:hint="eastAsia"/>
          <w:sz w:val="32"/>
        </w:rPr>
        <w:t>指事业单位按有关规定结转到下年或以后年度继续使用的资金，或项目已完成等产生的结余资金。</w:t>
      </w:r>
    </w:p>
    <w:p w:rsidR="00C17F88" w:rsidRDefault="00FC6C46">
      <w:pPr>
        <w:autoSpaceDN w:val="0"/>
        <w:spacing w:line="560" w:lineRule="exact"/>
        <w:ind w:firstLineChars="200" w:firstLine="643"/>
        <w:rPr>
          <w:rFonts w:ascii="仿宋" w:eastAsia="仿宋" w:hAnsi="仿宋"/>
          <w:sz w:val="32"/>
        </w:rPr>
      </w:pPr>
      <w:r>
        <w:rPr>
          <w:rFonts w:ascii="仿宋" w:eastAsia="仿宋" w:hAnsi="仿宋" w:hint="eastAsia"/>
          <w:b/>
          <w:bCs/>
          <w:sz w:val="32"/>
        </w:rPr>
        <w:t>十</w:t>
      </w:r>
      <w:r w:rsidR="00D87A9E">
        <w:rPr>
          <w:rFonts w:ascii="仿宋" w:eastAsia="仿宋" w:hAnsi="仿宋" w:hint="eastAsia"/>
          <w:b/>
          <w:bCs/>
          <w:sz w:val="32"/>
        </w:rPr>
        <w:t>、“三公”经费财政拨款支出：</w:t>
      </w:r>
      <w:r w:rsidR="00D87A9E">
        <w:rPr>
          <w:rFonts w:ascii="仿宋" w:eastAsia="仿宋" w:hAnsi="仿宋" w:hint="eastAsia"/>
          <w:sz w:val="32"/>
        </w:rPr>
        <w:t>指通过财政拨款资金安排的因公出国（境）费、公务用车购置及运行费和公务接待费支出。其中，</w:t>
      </w:r>
      <w:r w:rsidR="00D87A9E">
        <w:rPr>
          <w:rFonts w:ascii="仿宋" w:eastAsia="仿宋" w:hAnsi="仿宋"/>
          <w:sz w:val="32"/>
        </w:rPr>
        <w:t>因公出国（境）费</w:t>
      </w:r>
      <w:r w:rsidR="00D87A9E">
        <w:rPr>
          <w:rFonts w:ascii="仿宋" w:eastAsia="仿宋" w:hAnsi="仿宋" w:hint="eastAsia"/>
          <w:sz w:val="32"/>
        </w:rPr>
        <w:t>指</w:t>
      </w:r>
      <w:r w:rsidR="00D87A9E">
        <w:rPr>
          <w:rFonts w:ascii="仿宋" w:eastAsia="仿宋" w:hAnsi="仿宋"/>
          <w:sz w:val="32"/>
        </w:rPr>
        <w:t>单位</w:t>
      </w:r>
      <w:r w:rsidR="00D87A9E">
        <w:rPr>
          <w:rFonts w:ascii="仿宋" w:eastAsia="仿宋" w:hAnsi="仿宋" w:hint="eastAsia"/>
          <w:sz w:val="32"/>
        </w:rPr>
        <w:t>工作人员</w:t>
      </w:r>
      <w:r w:rsidR="00D87A9E">
        <w:rPr>
          <w:rFonts w:ascii="仿宋" w:eastAsia="仿宋" w:hAnsi="仿宋"/>
          <w:sz w:val="32"/>
        </w:rPr>
        <w:t>公务出国（境）的</w:t>
      </w:r>
      <w:r w:rsidR="00D87A9E">
        <w:rPr>
          <w:rFonts w:ascii="仿宋" w:eastAsia="仿宋" w:hAnsi="仿宋" w:hint="eastAsia"/>
          <w:sz w:val="32"/>
        </w:rPr>
        <w:t>往返机票费、</w:t>
      </w:r>
      <w:r w:rsidR="00D87A9E">
        <w:rPr>
          <w:rFonts w:ascii="仿宋" w:eastAsia="仿宋" w:hAnsi="仿宋"/>
          <w:sz w:val="32"/>
        </w:rPr>
        <w:t>国际旅费、国外城市间交通费、住宿费、伙食费、培训费、公杂费等支出</w:t>
      </w:r>
      <w:r w:rsidR="00D87A9E">
        <w:rPr>
          <w:rFonts w:ascii="仿宋" w:eastAsia="仿宋" w:hAnsi="仿宋" w:hint="eastAsia"/>
          <w:sz w:val="32"/>
        </w:rPr>
        <w:t>；公务用车购置及运行费指单位购置公务用车支出（</w:t>
      </w:r>
      <w:proofErr w:type="gramStart"/>
      <w:r w:rsidR="00D87A9E">
        <w:rPr>
          <w:rFonts w:ascii="仿宋" w:eastAsia="仿宋" w:hAnsi="仿宋" w:hint="eastAsia"/>
          <w:sz w:val="32"/>
        </w:rPr>
        <w:t>含车辆</w:t>
      </w:r>
      <w:proofErr w:type="gramEnd"/>
      <w:r w:rsidR="00D87A9E">
        <w:rPr>
          <w:rFonts w:ascii="仿宋" w:eastAsia="仿宋" w:hAnsi="仿宋" w:hint="eastAsia"/>
          <w:sz w:val="32"/>
        </w:rPr>
        <w:t>购置税）及公务用车使用过程中所发生的</w:t>
      </w:r>
      <w:r w:rsidR="00D87A9E">
        <w:rPr>
          <w:rFonts w:ascii="仿宋" w:eastAsia="仿宋" w:hAnsi="仿宋"/>
          <w:sz w:val="32"/>
        </w:rPr>
        <w:t>租用费、燃料费、维修费、过桥过路费、保险费、安全奖励费等支出</w:t>
      </w:r>
      <w:r w:rsidR="00D87A9E">
        <w:rPr>
          <w:rFonts w:ascii="仿宋" w:eastAsia="仿宋" w:hAnsi="仿宋" w:hint="eastAsia"/>
          <w:sz w:val="32"/>
        </w:rPr>
        <w:t>；</w:t>
      </w:r>
      <w:r w:rsidR="00D87A9E">
        <w:rPr>
          <w:rFonts w:ascii="仿宋" w:eastAsia="仿宋" w:hAnsi="仿宋"/>
          <w:sz w:val="32"/>
        </w:rPr>
        <w:t>公务接待费</w:t>
      </w:r>
      <w:r w:rsidR="00D87A9E">
        <w:rPr>
          <w:rFonts w:ascii="仿宋" w:eastAsia="仿宋" w:hAnsi="仿宋" w:hint="eastAsia"/>
          <w:sz w:val="32"/>
        </w:rPr>
        <w:t>指</w:t>
      </w:r>
      <w:r w:rsidR="00D87A9E">
        <w:rPr>
          <w:rFonts w:ascii="仿宋" w:eastAsia="仿宋" w:hAnsi="仿宋"/>
          <w:sz w:val="32"/>
        </w:rPr>
        <w:t>单位按规定开支的各类公务接待（含外宾接待）</w:t>
      </w:r>
      <w:r w:rsidR="00D87A9E">
        <w:rPr>
          <w:rFonts w:ascii="仿宋" w:eastAsia="仿宋" w:hAnsi="仿宋" w:hint="eastAsia"/>
          <w:sz w:val="32"/>
        </w:rPr>
        <w:t>支出</w:t>
      </w:r>
      <w:r w:rsidR="00D87A9E">
        <w:rPr>
          <w:rFonts w:ascii="仿宋" w:eastAsia="仿宋" w:hAnsi="仿宋"/>
          <w:sz w:val="32"/>
        </w:rPr>
        <w:t>。</w:t>
      </w:r>
    </w:p>
    <w:p w:rsidR="00C17F88" w:rsidRDefault="00FC6C46">
      <w:pPr>
        <w:autoSpaceDN w:val="0"/>
        <w:spacing w:line="560" w:lineRule="exact"/>
        <w:ind w:firstLineChars="200" w:firstLine="643"/>
        <w:rPr>
          <w:rFonts w:ascii="仿宋" w:eastAsia="仿宋" w:hAnsi="仿宋"/>
          <w:b/>
          <w:sz w:val="32"/>
        </w:rPr>
      </w:pPr>
      <w:r>
        <w:rPr>
          <w:rFonts w:ascii="仿宋" w:eastAsia="仿宋" w:hAnsi="仿宋" w:hint="eastAsia"/>
          <w:b/>
          <w:bCs/>
          <w:sz w:val="32"/>
        </w:rPr>
        <w:t>十一</w:t>
      </w:r>
      <w:r w:rsidR="00D87A9E">
        <w:rPr>
          <w:rFonts w:ascii="仿宋" w:eastAsia="仿宋" w:hAnsi="仿宋" w:hint="eastAsia"/>
          <w:b/>
          <w:bCs/>
          <w:sz w:val="32"/>
        </w:rPr>
        <w:t>、机关运行经费：</w:t>
      </w:r>
      <w:r w:rsidR="00D87A9E">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C17F88">
      <w:pgSz w:w="11907" w:h="1683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61D" w:rsidRDefault="00BE761D">
      <w:r>
        <w:separator/>
      </w:r>
    </w:p>
  </w:endnote>
  <w:endnote w:type="continuationSeparator" w:id="0">
    <w:p w:rsidR="00BE761D" w:rsidRDefault="00BE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E" w:rsidRDefault="00D87A9E">
    <w:pPr>
      <w:pStyle w:val="a3"/>
      <w:jc w:val="center"/>
      <w:rPr>
        <w:rFonts w:ascii="仿宋_GB2312" w:eastAsia="仿宋_GB2312"/>
        <w:sz w:val="24"/>
        <w:szCs w:val="24"/>
      </w:rPr>
    </w:pPr>
    <w:r>
      <w:rPr>
        <w:rFonts w:ascii="仿宋_GB2312" w:eastAsia="仿宋_GB2312" w:hint="eastAsia"/>
        <w:sz w:val="24"/>
        <w:szCs w:val="24"/>
      </w:rPr>
      <w:fldChar w:fldCharType="begin"/>
    </w:r>
    <w:r>
      <w:rPr>
        <w:rFonts w:ascii="仿宋_GB2312" w:eastAsia="仿宋_GB2312" w:hint="eastAsia"/>
        <w:sz w:val="24"/>
        <w:szCs w:val="24"/>
      </w:rPr>
      <w:instrText xml:space="preserve"> PAGE   \* MERGEFORMAT </w:instrText>
    </w:r>
    <w:r>
      <w:rPr>
        <w:rFonts w:ascii="仿宋_GB2312" w:eastAsia="仿宋_GB2312" w:hint="eastAsia"/>
        <w:sz w:val="24"/>
        <w:szCs w:val="24"/>
      </w:rPr>
      <w:fldChar w:fldCharType="separate"/>
    </w:r>
    <w:r w:rsidR="00E11E3D" w:rsidRPr="00E11E3D">
      <w:rPr>
        <w:rFonts w:ascii="仿宋_GB2312" w:eastAsia="仿宋_GB2312"/>
        <w:noProof/>
        <w:sz w:val="24"/>
        <w:szCs w:val="24"/>
        <w:lang w:val="zh-CN"/>
      </w:rPr>
      <w:t>-</w:t>
    </w:r>
    <w:r w:rsidR="00E11E3D">
      <w:rPr>
        <w:rFonts w:ascii="仿宋_GB2312" w:eastAsia="仿宋_GB2312"/>
        <w:noProof/>
        <w:sz w:val="24"/>
        <w:szCs w:val="24"/>
      </w:rPr>
      <w:t xml:space="preserve"> 6 -</w:t>
    </w:r>
    <w:r>
      <w:rPr>
        <w:rFonts w:ascii="仿宋_GB2312" w:eastAsia="仿宋_GB2312" w:hint="eastAsia"/>
        <w:sz w:val="24"/>
        <w:szCs w:val="24"/>
      </w:rPr>
      <w:fldChar w:fldCharType="end"/>
    </w:r>
  </w:p>
  <w:p w:rsidR="00D87A9E" w:rsidRDefault="00D87A9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E" w:rsidRDefault="00D87A9E">
    <w:pPr>
      <w:pStyle w:val="a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9E" w:rsidRDefault="00D87A9E">
    <w:pPr>
      <w:pStyle w:val="a3"/>
      <w:framePr w:wrap="around" w:vAnchor="text" w:hAnchor="margin" w:xAlign="center" w:yAlign="top"/>
    </w:pPr>
    <w:r>
      <w:fldChar w:fldCharType="begin"/>
    </w:r>
    <w:r>
      <w:rPr>
        <w:rStyle w:val="a6"/>
      </w:rPr>
      <w:instrText xml:space="preserve"> PAGE  </w:instrText>
    </w:r>
    <w:r>
      <w:fldChar w:fldCharType="separate"/>
    </w:r>
    <w:r w:rsidR="00E11E3D">
      <w:rPr>
        <w:rStyle w:val="a6"/>
        <w:noProof/>
      </w:rPr>
      <w:t>28</w:t>
    </w:r>
    <w:r>
      <w:fldChar w:fldCharType="end"/>
    </w:r>
  </w:p>
  <w:p w:rsidR="00D87A9E" w:rsidRDefault="00D87A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61D" w:rsidRDefault="00BE761D">
      <w:r>
        <w:separator/>
      </w:r>
    </w:p>
  </w:footnote>
  <w:footnote w:type="continuationSeparator" w:id="0">
    <w:p w:rsidR="00BE761D" w:rsidRDefault="00BE7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1A2F5"/>
    <w:multiLevelType w:val="singleLevel"/>
    <w:tmpl w:val="5981A2F5"/>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D30"/>
    <w:rsid w:val="000530AB"/>
    <w:rsid w:val="000C6C9E"/>
    <w:rsid w:val="000D126F"/>
    <w:rsid w:val="000D7A6A"/>
    <w:rsid w:val="000E200E"/>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B52A2"/>
    <w:rsid w:val="003D2BAD"/>
    <w:rsid w:val="00425602"/>
    <w:rsid w:val="004527E1"/>
    <w:rsid w:val="004A4BB6"/>
    <w:rsid w:val="004C1D40"/>
    <w:rsid w:val="00531086"/>
    <w:rsid w:val="00566E9E"/>
    <w:rsid w:val="005957B0"/>
    <w:rsid w:val="006019F0"/>
    <w:rsid w:val="00605319"/>
    <w:rsid w:val="006622AB"/>
    <w:rsid w:val="0070545E"/>
    <w:rsid w:val="00716E7B"/>
    <w:rsid w:val="00751BB1"/>
    <w:rsid w:val="00752C0A"/>
    <w:rsid w:val="00766A49"/>
    <w:rsid w:val="0079732C"/>
    <w:rsid w:val="007C4C2F"/>
    <w:rsid w:val="007F3FFC"/>
    <w:rsid w:val="00805A22"/>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6588A"/>
    <w:rsid w:val="00AB5BCA"/>
    <w:rsid w:val="00B4011C"/>
    <w:rsid w:val="00B475BE"/>
    <w:rsid w:val="00B65922"/>
    <w:rsid w:val="00B66197"/>
    <w:rsid w:val="00BA29E3"/>
    <w:rsid w:val="00BB3F26"/>
    <w:rsid w:val="00BE761D"/>
    <w:rsid w:val="00C17F88"/>
    <w:rsid w:val="00C37E60"/>
    <w:rsid w:val="00C82009"/>
    <w:rsid w:val="00C9184F"/>
    <w:rsid w:val="00CB4BDA"/>
    <w:rsid w:val="00CC52B0"/>
    <w:rsid w:val="00D107CD"/>
    <w:rsid w:val="00D277FB"/>
    <w:rsid w:val="00D340C7"/>
    <w:rsid w:val="00D738BC"/>
    <w:rsid w:val="00D73D35"/>
    <w:rsid w:val="00D87A9E"/>
    <w:rsid w:val="00DD523F"/>
    <w:rsid w:val="00DD6EB8"/>
    <w:rsid w:val="00E013C3"/>
    <w:rsid w:val="00E11E3D"/>
    <w:rsid w:val="00E236D8"/>
    <w:rsid w:val="00E57F91"/>
    <w:rsid w:val="00E648A3"/>
    <w:rsid w:val="00E72512"/>
    <w:rsid w:val="00E96AD7"/>
    <w:rsid w:val="00E96CFD"/>
    <w:rsid w:val="00EB75E0"/>
    <w:rsid w:val="00EC7177"/>
    <w:rsid w:val="00EE1E44"/>
    <w:rsid w:val="00EE3894"/>
    <w:rsid w:val="00EF10E0"/>
    <w:rsid w:val="00F91D1D"/>
    <w:rsid w:val="00FB6467"/>
    <w:rsid w:val="00FC6C46"/>
    <w:rsid w:val="010539D7"/>
    <w:rsid w:val="01291CF3"/>
    <w:rsid w:val="01C17C29"/>
    <w:rsid w:val="01D25F7D"/>
    <w:rsid w:val="01E907D6"/>
    <w:rsid w:val="02855BEE"/>
    <w:rsid w:val="02935584"/>
    <w:rsid w:val="033736F1"/>
    <w:rsid w:val="03AF0195"/>
    <w:rsid w:val="03EB5A73"/>
    <w:rsid w:val="045B3430"/>
    <w:rsid w:val="051B5087"/>
    <w:rsid w:val="056D7D0D"/>
    <w:rsid w:val="05B34951"/>
    <w:rsid w:val="07BA0FF2"/>
    <w:rsid w:val="08FC0484"/>
    <w:rsid w:val="098D451F"/>
    <w:rsid w:val="09FC0338"/>
    <w:rsid w:val="0BE3535B"/>
    <w:rsid w:val="0BF6457E"/>
    <w:rsid w:val="0DA93E4C"/>
    <w:rsid w:val="0E21199F"/>
    <w:rsid w:val="0E82019F"/>
    <w:rsid w:val="0E913F8C"/>
    <w:rsid w:val="0EC042D8"/>
    <w:rsid w:val="0FAA22F4"/>
    <w:rsid w:val="0FD54E0B"/>
    <w:rsid w:val="10C81B03"/>
    <w:rsid w:val="10DE2F25"/>
    <w:rsid w:val="115F0793"/>
    <w:rsid w:val="11E8486E"/>
    <w:rsid w:val="12277E38"/>
    <w:rsid w:val="12A612BB"/>
    <w:rsid w:val="12B83979"/>
    <w:rsid w:val="14424B64"/>
    <w:rsid w:val="149A7217"/>
    <w:rsid w:val="16BA16A6"/>
    <w:rsid w:val="17A9728B"/>
    <w:rsid w:val="17B3432A"/>
    <w:rsid w:val="18BD2904"/>
    <w:rsid w:val="19503578"/>
    <w:rsid w:val="19FB6DA2"/>
    <w:rsid w:val="1A1D04AD"/>
    <w:rsid w:val="1A3056D8"/>
    <w:rsid w:val="1ABD4924"/>
    <w:rsid w:val="1B6A01A5"/>
    <w:rsid w:val="1B704521"/>
    <w:rsid w:val="1BBD09F3"/>
    <w:rsid w:val="1C71086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1D0C2C"/>
    <w:rsid w:val="242878FE"/>
    <w:rsid w:val="24AA776D"/>
    <w:rsid w:val="24B66733"/>
    <w:rsid w:val="24DE2AB2"/>
    <w:rsid w:val="24EB7A4C"/>
    <w:rsid w:val="24EC27F0"/>
    <w:rsid w:val="250049D2"/>
    <w:rsid w:val="25390094"/>
    <w:rsid w:val="254C4636"/>
    <w:rsid w:val="25CF4C27"/>
    <w:rsid w:val="267C3C0F"/>
    <w:rsid w:val="26CA1E67"/>
    <w:rsid w:val="26D9681D"/>
    <w:rsid w:val="27615C36"/>
    <w:rsid w:val="276A0F6E"/>
    <w:rsid w:val="27F60471"/>
    <w:rsid w:val="28CA7BDD"/>
    <w:rsid w:val="28CB487D"/>
    <w:rsid w:val="29A34F43"/>
    <w:rsid w:val="29B215CF"/>
    <w:rsid w:val="2A345118"/>
    <w:rsid w:val="2B687DF3"/>
    <w:rsid w:val="2BD56AA4"/>
    <w:rsid w:val="2C740706"/>
    <w:rsid w:val="2CD54307"/>
    <w:rsid w:val="2CF649E8"/>
    <w:rsid w:val="2D691477"/>
    <w:rsid w:val="2E4733B9"/>
    <w:rsid w:val="2E663CE3"/>
    <w:rsid w:val="2E6C632E"/>
    <w:rsid w:val="2E8E4319"/>
    <w:rsid w:val="2E973096"/>
    <w:rsid w:val="2F5B1D5B"/>
    <w:rsid w:val="2FDC43A0"/>
    <w:rsid w:val="2FE41633"/>
    <w:rsid w:val="303B6D52"/>
    <w:rsid w:val="30404DA3"/>
    <w:rsid w:val="30614651"/>
    <w:rsid w:val="310534F3"/>
    <w:rsid w:val="311B2DB5"/>
    <w:rsid w:val="31200E48"/>
    <w:rsid w:val="312F40AC"/>
    <w:rsid w:val="31696AB3"/>
    <w:rsid w:val="321E5FE8"/>
    <w:rsid w:val="33D2753F"/>
    <w:rsid w:val="33D5291B"/>
    <w:rsid w:val="342C3693"/>
    <w:rsid w:val="3447206F"/>
    <w:rsid w:val="34B67240"/>
    <w:rsid w:val="34DE5E1D"/>
    <w:rsid w:val="359930AC"/>
    <w:rsid w:val="35A61CEB"/>
    <w:rsid w:val="36447551"/>
    <w:rsid w:val="368A773C"/>
    <w:rsid w:val="36EE7B2A"/>
    <w:rsid w:val="38250C35"/>
    <w:rsid w:val="38D416BA"/>
    <w:rsid w:val="3922614F"/>
    <w:rsid w:val="3A207555"/>
    <w:rsid w:val="3ABA6DAF"/>
    <w:rsid w:val="3B60095D"/>
    <w:rsid w:val="3BC7290F"/>
    <w:rsid w:val="3BF86E47"/>
    <w:rsid w:val="3C1C2D73"/>
    <w:rsid w:val="3CBA7FA6"/>
    <w:rsid w:val="3D51620A"/>
    <w:rsid w:val="3D561BE0"/>
    <w:rsid w:val="3F847C6B"/>
    <w:rsid w:val="3F8A54A4"/>
    <w:rsid w:val="3FFA71C8"/>
    <w:rsid w:val="404207E8"/>
    <w:rsid w:val="40B71CA9"/>
    <w:rsid w:val="417267DD"/>
    <w:rsid w:val="41BE4B11"/>
    <w:rsid w:val="41CC5C4E"/>
    <w:rsid w:val="42161774"/>
    <w:rsid w:val="4244364D"/>
    <w:rsid w:val="42543E02"/>
    <w:rsid w:val="42812842"/>
    <w:rsid w:val="42E32929"/>
    <w:rsid w:val="44840D0E"/>
    <w:rsid w:val="44A85C75"/>
    <w:rsid w:val="44C9341E"/>
    <w:rsid w:val="46702D14"/>
    <w:rsid w:val="46804743"/>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EB33204"/>
    <w:rsid w:val="4F4F0196"/>
    <w:rsid w:val="4F7030A6"/>
    <w:rsid w:val="51595B90"/>
    <w:rsid w:val="51B14597"/>
    <w:rsid w:val="524B622E"/>
    <w:rsid w:val="525C2AAA"/>
    <w:rsid w:val="527F60E4"/>
    <w:rsid w:val="5291057C"/>
    <w:rsid w:val="52A244F3"/>
    <w:rsid w:val="52DE564C"/>
    <w:rsid w:val="53B51A78"/>
    <w:rsid w:val="5433756D"/>
    <w:rsid w:val="544B604C"/>
    <w:rsid w:val="56065E83"/>
    <w:rsid w:val="56276642"/>
    <w:rsid w:val="565E2966"/>
    <w:rsid w:val="56C62B07"/>
    <w:rsid w:val="5731104D"/>
    <w:rsid w:val="58AC562C"/>
    <w:rsid w:val="5919472F"/>
    <w:rsid w:val="598C5E68"/>
    <w:rsid w:val="59B913DD"/>
    <w:rsid w:val="59C15939"/>
    <w:rsid w:val="59E34416"/>
    <w:rsid w:val="5B265984"/>
    <w:rsid w:val="5B594BDF"/>
    <w:rsid w:val="5B67293C"/>
    <w:rsid w:val="5BC1770A"/>
    <w:rsid w:val="5C4F2B5D"/>
    <w:rsid w:val="5C824D18"/>
    <w:rsid w:val="5DBF1EE1"/>
    <w:rsid w:val="5DCB486F"/>
    <w:rsid w:val="5DE51A21"/>
    <w:rsid w:val="5ECE5F09"/>
    <w:rsid w:val="5EF3424E"/>
    <w:rsid w:val="5EF65BE6"/>
    <w:rsid w:val="5F636D4B"/>
    <w:rsid w:val="5FC61C37"/>
    <w:rsid w:val="5FF75A67"/>
    <w:rsid w:val="609A0319"/>
    <w:rsid w:val="60A43501"/>
    <w:rsid w:val="60EB57EC"/>
    <w:rsid w:val="61342421"/>
    <w:rsid w:val="63647DB9"/>
    <w:rsid w:val="637C576C"/>
    <w:rsid w:val="639A23F6"/>
    <w:rsid w:val="63C67E20"/>
    <w:rsid w:val="640259CE"/>
    <w:rsid w:val="64617F46"/>
    <w:rsid w:val="661A28ED"/>
    <w:rsid w:val="675454F2"/>
    <w:rsid w:val="67662261"/>
    <w:rsid w:val="67EB6F41"/>
    <w:rsid w:val="68186EAD"/>
    <w:rsid w:val="6993314E"/>
    <w:rsid w:val="6A442FBD"/>
    <w:rsid w:val="6AE30D66"/>
    <w:rsid w:val="6BB153D8"/>
    <w:rsid w:val="6C252800"/>
    <w:rsid w:val="6CC84C24"/>
    <w:rsid w:val="6CF35A23"/>
    <w:rsid w:val="6D31535F"/>
    <w:rsid w:val="6D42284E"/>
    <w:rsid w:val="6E5F0718"/>
    <w:rsid w:val="6F92352B"/>
    <w:rsid w:val="6FC1378E"/>
    <w:rsid w:val="702E5BFE"/>
    <w:rsid w:val="70405D7E"/>
    <w:rsid w:val="704065EA"/>
    <w:rsid w:val="709A3939"/>
    <w:rsid w:val="71117BB3"/>
    <w:rsid w:val="712B0162"/>
    <w:rsid w:val="713D0D36"/>
    <w:rsid w:val="72707695"/>
    <w:rsid w:val="72AB454A"/>
    <w:rsid w:val="73BB3104"/>
    <w:rsid w:val="748A4488"/>
    <w:rsid w:val="75371AAF"/>
    <w:rsid w:val="75E90F54"/>
    <w:rsid w:val="76D014C1"/>
    <w:rsid w:val="76E05FD5"/>
    <w:rsid w:val="76EB228A"/>
    <w:rsid w:val="777504D5"/>
    <w:rsid w:val="78060FB9"/>
    <w:rsid w:val="792C2E25"/>
    <w:rsid w:val="79865DC4"/>
    <w:rsid w:val="79AB7861"/>
    <w:rsid w:val="79D44C66"/>
    <w:rsid w:val="7BB9274A"/>
    <w:rsid w:val="7BBD7DA4"/>
    <w:rsid w:val="7BD77EDE"/>
    <w:rsid w:val="7BEC3F2B"/>
    <w:rsid w:val="7C31086D"/>
    <w:rsid w:val="7C394457"/>
    <w:rsid w:val="7C4E2AAA"/>
    <w:rsid w:val="7CD44B80"/>
    <w:rsid w:val="7D2A758A"/>
    <w:rsid w:val="7D6D37F1"/>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character" w:styleId="a6">
    <w:name w:val="page number"/>
    <w:basedOn w:val="a0"/>
    <w:qFormat/>
  </w:style>
  <w:style w:type="character" w:customStyle="1" w:styleId="NewNew">
    <w:name w:val="页码 New New"/>
    <w:basedOn w:val="a0"/>
    <w:qFormat/>
  </w:style>
  <w:style w:type="character" w:customStyle="1" w:styleId="NewNewNewNewNew">
    <w:name w:val="页码 New New New New New"/>
    <w:basedOn w:val="a0"/>
    <w:qFormat/>
  </w:style>
  <w:style w:type="character" w:customStyle="1" w:styleId="NewNewNewNew">
    <w:name w:val="页码 New New New New"/>
    <w:basedOn w:val="a0"/>
    <w:qFormat/>
  </w:style>
  <w:style w:type="character" w:customStyle="1" w:styleId="NewNewNew">
    <w:name w:val="页码 New New New"/>
    <w:basedOn w:val="a0"/>
    <w:qFormat/>
  </w:style>
  <w:style w:type="character" w:customStyle="1" w:styleId="New">
    <w:name w:val="页码 New"/>
    <w:basedOn w:val="a0"/>
    <w:qFormat/>
  </w:style>
  <w:style w:type="character" w:customStyle="1" w:styleId="NewNewNewNewNewNew">
    <w:name w:val="页码 New New New New New New"/>
    <w:basedOn w:val="a0"/>
    <w:qFormat/>
  </w:style>
  <w:style w:type="paragraph" w:customStyle="1" w:styleId="NewNewNewNewNewNewNewNewNewNewNewNewNewNewNewNewNew">
    <w:name w:val="页脚 New New New New New New New New New New New New New New New New New"/>
    <w:basedOn w:val="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0">
    <w:name w:val="正文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1">
    <w:name w:val="页眉 New New New New New New New New New New New New New New New New New"/>
    <w:basedOn w:val="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qFormat/>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
    <w:name w:val="页脚 New New New New New New New New"/>
    <w:basedOn w:val="NewNewNewNewNewNewNewNew0"/>
    <w:qFormat/>
    <w:pPr>
      <w:tabs>
        <w:tab w:val="center" w:pos="4153"/>
        <w:tab w:val="right" w:pos="8306"/>
      </w:tabs>
      <w:snapToGrid w:val="0"/>
      <w:jc w:val="left"/>
    </w:pPr>
    <w:rPr>
      <w:sz w:val="18"/>
      <w:szCs w:val="18"/>
    </w:rPr>
  </w:style>
  <w:style w:type="paragraph" w:customStyle="1" w:styleId="NewNewNewNewNewNewNewNew0">
    <w:name w:val="正文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qFormat/>
    <w:pPr>
      <w:widowControl w:val="0"/>
      <w:jc w:val="both"/>
    </w:pPr>
    <w:rPr>
      <w:rFonts w:eastAsia="仿宋_GB2312"/>
      <w:kern w:val="2"/>
      <w:sz w:val="32"/>
    </w:rPr>
  </w:style>
  <w:style w:type="paragraph" w:customStyle="1" w:styleId="NewNewNew1">
    <w:name w:val="页眉 New New New"/>
    <w:basedOn w:val="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qFormat/>
    <w:pPr>
      <w:widowControl/>
    </w:pPr>
    <w:rPr>
      <w:rFonts w:eastAsia="宋体"/>
      <w:kern w:val="0"/>
      <w:szCs w:val="32"/>
    </w:rPr>
  </w:style>
  <w:style w:type="paragraph" w:customStyle="1" w:styleId="NewNewNewNew0">
    <w:name w:val="正文 New New New New"/>
    <w:qFormat/>
    <w:pPr>
      <w:widowControl w:val="0"/>
      <w:jc w:val="both"/>
    </w:pPr>
    <w:rPr>
      <w:rFonts w:eastAsia="仿宋_GB2312"/>
      <w:kern w:val="2"/>
      <w:sz w:val="32"/>
    </w:rPr>
  </w:style>
  <w:style w:type="paragraph" w:customStyle="1" w:styleId="NewNewNewNewNewNewNewNew1">
    <w:name w:val="页眉 New New New New New New New New"/>
    <w:basedOn w:val="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
    <w:name w:val="正文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qFormat/>
    <w:pPr>
      <w:tabs>
        <w:tab w:val="center" w:pos="4153"/>
        <w:tab w:val="right" w:pos="8306"/>
      </w:tabs>
      <w:snapToGrid w:val="0"/>
      <w:jc w:val="left"/>
    </w:pPr>
    <w:rPr>
      <w:sz w:val="18"/>
    </w:rPr>
  </w:style>
  <w:style w:type="paragraph" w:customStyle="1" w:styleId="NewNewNew2">
    <w:name w:val="页脚 New New New"/>
    <w:basedOn w:val="NewNewNew0"/>
    <w:qFormat/>
    <w:pPr>
      <w:tabs>
        <w:tab w:val="center" w:pos="4153"/>
        <w:tab w:val="right" w:pos="8306"/>
      </w:tabs>
      <w:snapToGrid w:val="0"/>
      <w:jc w:val="left"/>
    </w:pPr>
    <w:rPr>
      <w:sz w:val="18"/>
    </w:rPr>
  </w:style>
  <w:style w:type="paragraph" w:customStyle="1" w:styleId="NewNewNewNewNewNewNewNewNewNewNewNewNewNewNewNew">
    <w:name w:val="正文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0">
    <w:name w:val="正文 New New New New New New New New New New New New New New"/>
    <w:qFormat/>
    <w:pPr>
      <w:widowControl w:val="0"/>
      <w:jc w:val="both"/>
    </w:pPr>
    <w:rPr>
      <w:rFonts w:eastAsia="仿宋_GB2312"/>
      <w:kern w:val="2"/>
      <w:sz w:val="32"/>
    </w:rPr>
  </w:style>
  <w:style w:type="paragraph" w:customStyle="1" w:styleId="NewNewNewNewNewNewNewNewNewNewNewNewNew">
    <w:name w:val="正文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qFormat/>
    <w:pPr>
      <w:tabs>
        <w:tab w:val="center" w:pos="4153"/>
        <w:tab w:val="right" w:pos="8306"/>
      </w:tabs>
      <w:snapToGrid w:val="0"/>
      <w:jc w:val="left"/>
    </w:pPr>
    <w:rPr>
      <w:sz w:val="18"/>
      <w:szCs w:val="18"/>
    </w:rPr>
  </w:style>
  <w:style w:type="paragraph" w:customStyle="1" w:styleId="New0">
    <w:name w:val="页眉 New"/>
    <w:basedOn w:val="New1"/>
    <w:qFormat/>
    <w:pPr>
      <w:pBdr>
        <w:bottom w:val="single" w:sz="6" w:space="1" w:color="auto"/>
      </w:pBdr>
      <w:tabs>
        <w:tab w:val="center" w:pos="4153"/>
        <w:tab w:val="right" w:pos="8306"/>
      </w:tabs>
      <w:snapToGrid w:val="0"/>
      <w:jc w:val="center"/>
    </w:pPr>
    <w:rPr>
      <w:sz w:val="18"/>
      <w:szCs w:val="18"/>
    </w:rPr>
  </w:style>
  <w:style w:type="paragraph" w:customStyle="1" w:styleId="New1">
    <w:name w:val="正文 New"/>
    <w:qFormat/>
    <w:pPr>
      <w:widowControl w:val="0"/>
      <w:jc w:val="both"/>
    </w:pPr>
    <w:rPr>
      <w:rFonts w:eastAsia="仿宋_GB2312"/>
      <w:kern w:val="2"/>
      <w:sz w:val="32"/>
    </w:rPr>
  </w:style>
  <w:style w:type="paragraph" w:customStyle="1" w:styleId="NewNewNewNew2">
    <w:name w:val="页眉 New New New New"/>
    <w:basedOn w:val="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
    <w:name w:val="正文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qFormat/>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qFormat/>
    <w:pPr>
      <w:tabs>
        <w:tab w:val="center" w:pos="4153"/>
        <w:tab w:val="right" w:pos="8306"/>
      </w:tabs>
      <w:snapToGrid w:val="0"/>
      <w:jc w:val="left"/>
    </w:pPr>
    <w:rPr>
      <w:sz w:val="18"/>
      <w:szCs w:val="18"/>
    </w:rPr>
  </w:style>
  <w:style w:type="paragraph" w:customStyle="1" w:styleId="NewNew0">
    <w:name w:val="正文 New New"/>
    <w:qFormat/>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0">
    <w:name w:val="页脚 New New New New New New New"/>
    <w:basedOn w:val="NewNewNewNewNewNewNew"/>
    <w:qFormat/>
    <w:pPr>
      <w:tabs>
        <w:tab w:val="center" w:pos="4153"/>
        <w:tab w:val="right" w:pos="8306"/>
      </w:tabs>
      <w:snapToGrid w:val="0"/>
      <w:jc w:val="left"/>
    </w:pPr>
    <w:rPr>
      <w:sz w:val="18"/>
      <w:szCs w:val="18"/>
    </w:rPr>
  </w:style>
  <w:style w:type="paragraph" w:customStyle="1" w:styleId="NewNewNewNewNewNewNewNewNewNewNewNewNewNewNewNewNewNewNewNew">
    <w:name w:val="正文 New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qFormat/>
    <w:pPr>
      <w:tabs>
        <w:tab w:val="center" w:pos="4153"/>
        <w:tab w:val="right" w:pos="8306"/>
      </w:tabs>
      <w:snapToGrid w:val="0"/>
      <w:jc w:val="left"/>
    </w:pPr>
    <w:rPr>
      <w:sz w:val="18"/>
      <w:szCs w:val="18"/>
    </w:rPr>
  </w:style>
  <w:style w:type="paragraph" w:customStyle="1" w:styleId="New2">
    <w:name w:val="页脚 New"/>
    <w:basedOn w:val="New1"/>
    <w:qFormat/>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qFormat/>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qFormat/>
    <w:pPr>
      <w:tabs>
        <w:tab w:val="center" w:pos="4153"/>
        <w:tab w:val="right" w:pos="8306"/>
      </w:tabs>
      <w:snapToGrid w:val="0"/>
      <w:jc w:val="left"/>
    </w:pPr>
    <w:rPr>
      <w:sz w:val="18"/>
      <w:szCs w:val="18"/>
    </w:rPr>
  </w:style>
  <w:style w:type="paragraph" w:customStyle="1" w:styleId="NewNew1">
    <w:name w:val="页眉 New New"/>
    <w:basedOn w:val="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qFormat/>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
    <w:qFormat/>
    <w:pPr>
      <w:tabs>
        <w:tab w:val="center" w:pos="4153"/>
        <w:tab w:val="right" w:pos="8306"/>
      </w:tabs>
      <w:snapToGrid w:val="0"/>
      <w:jc w:val="left"/>
    </w:pPr>
    <w:rPr>
      <w:sz w:val="18"/>
      <w:szCs w:val="18"/>
    </w:rPr>
  </w:style>
  <w:style w:type="paragraph" w:customStyle="1" w:styleId="NewNew2">
    <w:name w:val="页脚 New New"/>
    <w:basedOn w:val="NewNew0"/>
    <w:qFormat/>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qFormat/>
    <w:pPr>
      <w:tabs>
        <w:tab w:val="center" w:pos="4153"/>
        <w:tab w:val="right" w:pos="8306"/>
      </w:tabs>
      <w:snapToGrid w:val="0"/>
      <w:jc w:val="left"/>
    </w:pPr>
    <w:rPr>
      <w:sz w:val="18"/>
      <w:szCs w:val="18"/>
    </w:rPr>
  </w:style>
  <w:style w:type="paragraph" w:customStyle="1" w:styleId="NewNewNewNewNew1">
    <w:name w:val="页脚 New New New New New"/>
    <w:basedOn w:val="NewNewNewNewNew0"/>
    <w:qFormat/>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qFormat/>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qFormat/>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qFormat/>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lang="zh-CN" altLang="en-US"/>
              <a:t>年全区教育经费收入构成比重图</a:t>
            </a:r>
          </a:p>
        </c:rich>
      </c:tx>
      <c:overlay val="0"/>
      <c:spPr>
        <a:noFill/>
        <a:ln>
          <a:noFill/>
        </a:ln>
        <a:effectLst/>
      </c:spPr>
    </c:title>
    <c:autoTitleDeleted val="0"/>
    <c:plotArea>
      <c:layout/>
      <c:pieChart>
        <c:varyColors val="1"/>
        <c:ser>
          <c:idx val="0"/>
          <c:order val="0"/>
          <c:tx>
            <c:strRef>
              <c:f>Sheet1!$B$1</c:f>
              <c:strCache>
                <c:ptCount val="1"/>
                <c:pt idx="0">
                  <c:v>2019年全区教育经费收入构成比重图
</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25049498634567802"/>
                  <c:y val="-0.107958879723976"/>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156482246077622"/>
                      <c:h val="0.16212994238029"/>
                    </c:manualLayout>
                  </c15:layout>
                </c:ext>
              </c:extLst>
            </c:dLbl>
            <c:dLbl>
              <c:idx val="1"/>
              <c:layout>
                <c:manualLayout>
                  <c:x val="-9.3907679586711895E-2"/>
                  <c:y val="4.8936389625761502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104872006606111"/>
                      <c:h val="0.136300417246175"/>
                    </c:manualLayout>
                  </c15:layout>
                </c:ext>
              </c:extLst>
            </c:dLbl>
            <c:dLbl>
              <c:idx val="2"/>
              <c:layout>
                <c:manualLayout>
                  <c:x val="0.165886590769693"/>
                  <c:y val="4.9604267842222598E-2"/>
                </c:manualLayout>
              </c:layout>
              <c:dLblPos val="bestFit"/>
              <c:showLegendKey val="0"/>
              <c:showVal val="0"/>
              <c:showCatName val="0"/>
              <c:showSerName val="0"/>
              <c:showPercent val="1"/>
              <c:showBubbleSize val="0"/>
              <c:extLst>
                <c:ext xmlns:c15="http://schemas.microsoft.com/office/drawing/2012/chart" uri="{CE6537A1-D6FC-4f65-9D91-7224C49458BB}">
                  <c15:layout>
                    <c:manualLayout>
                      <c:w val="0.139003578309937"/>
                      <c:h val="0.171468309159547"/>
                    </c:manualLayout>
                  </c15:layout>
                </c:ext>
              </c:extLst>
            </c:dLbl>
            <c:spPr>
              <a:noFill/>
              <a:ln w="28575" cmpd="sng">
                <a:noFill/>
                <a:prstDash val="solid"/>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财政拨款收入</c:v>
                </c:pt>
                <c:pt idx="1">
                  <c:v>事业收入</c:v>
                </c:pt>
                <c:pt idx="2">
                  <c:v>其他收入</c:v>
                </c:pt>
              </c:strCache>
            </c:strRef>
          </c:cat>
          <c:val>
            <c:numRef>
              <c:f>Sheet1!$B$2:$B$4</c:f>
              <c:numCache>
                <c:formatCode>General</c:formatCode>
                <c:ptCount val="3"/>
                <c:pt idx="0">
                  <c:v>97.33</c:v>
                </c:pt>
                <c:pt idx="1">
                  <c:v>1.27</c:v>
                </c:pt>
                <c:pt idx="2">
                  <c:v>1.4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4538948527387805"/>
          <c:y val="0.40969600635803699"/>
          <c:w val="0.238095238095238"/>
          <c:h val="0.21736538843632"/>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8719764800214E-2"/>
          <c:y val="0.16003367712060601"/>
          <c:w val="0.82825604703995703"/>
          <c:h val="0.79850136813302497"/>
        </c:manualLayout>
      </c:layout>
      <c:ofPieChart>
        <c:ofPieType val="pie"/>
        <c:varyColors val="1"/>
        <c:ser>
          <c:idx val="0"/>
          <c:order val="0"/>
          <c:tx>
            <c:strRef>
              <c:f>Sheet1!$B$1</c:f>
              <c:strCache>
                <c:ptCount val="1"/>
                <c:pt idx="0">
                  <c:v>销售额</c:v>
                </c:pt>
              </c:strCache>
            </c:strRef>
          </c:tx>
          <c:dPt>
            <c:idx val="0"/>
            <c:bubble3D val="0"/>
            <c:spPr>
              <a:solidFill>
                <a:schemeClr val="accent6"/>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2">
                  <a:lumMod val="60000"/>
                  <a:lumOff val="40000"/>
                </a:schemeClr>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3"/>
              </a:solidFill>
              <a:ln w="19050">
                <a:solidFill>
                  <a:schemeClr val="lt1"/>
                </a:solidFill>
              </a:ln>
              <a:effectLst/>
            </c:spPr>
          </c:dPt>
          <c:dLbls>
            <c:dLbl>
              <c:idx val="0"/>
              <c:layout>
                <c:manualLayout>
                  <c:x val="8.2453561405853304E-2"/>
                  <c:y val="3.57819406440749E-3"/>
                </c:manualLayout>
              </c:layout>
              <c:dLblPos val="bestFit"/>
              <c:showLegendKey val="0"/>
              <c:showVal val="1"/>
              <c:showCatName val="1"/>
              <c:showSerName val="0"/>
              <c:showPercent val="0"/>
              <c:showBubbleSize val="0"/>
              <c:extLst>
                <c:ext xmlns:c15="http://schemas.microsoft.com/office/drawing/2012/chart" uri="{CE6537A1-D6FC-4f65-9D91-7224C49458BB}">
                  <c15:layout/>
                </c:ext>
              </c:extLst>
            </c:dLbl>
            <c:dLbl>
              <c:idx val="4"/>
              <c:tx>
                <c:rich>
                  <a:bodyPr/>
                  <a:lstStyle/>
                  <a:p>
                    <a:r>
                      <a:rPr lang="zh-CN" altLang="en-US" sz="1200" b="1"/>
                      <a:t>基本支出</a:t>
                    </a:r>
                    <a:r>
                      <a:rPr lang="en-US" altLang="zh-CN" sz="1200" b="1"/>
                      <a:t>, 62691.76</a:t>
                    </a:r>
                  </a:p>
                </c:rich>
              </c:tx>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200" b="1" i="0" u="none" strike="noStrike" kern="1200" baseline="0">
                    <a:solidFill>
                      <a:schemeClr val="tx1">
                        <a:lumMod val="65000"/>
                        <a:lumOff val="35000"/>
                      </a:schemeClr>
                    </a:solidFill>
                    <a:latin typeface="+mn-lt"/>
                    <a:ea typeface="+mn-ea"/>
                    <a:cs typeface="+mn-cs"/>
                  </a:defRPr>
                </a:pPr>
                <a:endParaRPr lang="zh-CN"/>
              </a:p>
            </c:txPr>
            <c:dLblPos val="bestFit"/>
            <c:showLegendKey val="0"/>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项目支出</c:v>
                </c:pt>
                <c:pt idx="2">
                  <c:v>人员经费</c:v>
                </c:pt>
                <c:pt idx="3">
                  <c:v>公用经费</c:v>
                </c:pt>
              </c:strCache>
            </c:strRef>
          </c:cat>
          <c:val>
            <c:numRef>
              <c:f>Sheet1!$B$2:$B$5</c:f>
              <c:numCache>
                <c:formatCode>General</c:formatCode>
                <c:ptCount val="4"/>
                <c:pt idx="0">
                  <c:v>21025.81</c:v>
                </c:pt>
                <c:pt idx="2">
                  <c:v>56288</c:v>
                </c:pt>
                <c:pt idx="3">
                  <c:v>6403.76</c:v>
                </c:pt>
              </c:numCache>
            </c:numRef>
          </c:val>
        </c:ser>
        <c:dLbls>
          <c:showLegendKey val="0"/>
          <c:showVal val="1"/>
          <c:showCatName val="1"/>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EB097BD-25ED-4DA3-9732-E94A5AFFF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2204</Words>
  <Characters>12569</Characters>
  <Application>Microsoft Office Word</Application>
  <DocSecurity>0</DocSecurity>
  <Lines>104</Lines>
  <Paragraphs>29</Paragraphs>
  <ScaleCrop>false</ScaleCrop>
  <Company>P R C</Company>
  <LinksUpToDate>false</LinksUpToDate>
  <CharactersWithSpaces>14744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23</cp:revision>
  <cp:lastPrinted>2020-09-25T05:58:00Z</cp:lastPrinted>
  <dcterms:created xsi:type="dcterms:W3CDTF">2019-09-17T03:08:00Z</dcterms:created>
  <dcterms:modified xsi:type="dcterms:W3CDTF">2020-09-28T06:50:00Z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