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长春市双阳区农业用水价格调整方案</w:t>
      </w:r>
    </w:p>
    <w:p>
      <w:pPr>
        <w:jc w:val="center"/>
        <w:rPr>
          <w:rFonts w:hint="eastAsia" w:ascii="方正小标宋_GBK" w:hAnsi="方正小标宋_GBK" w:eastAsia="方正小标宋_GBK" w:cs="方正小标宋_GBK"/>
          <w:sz w:val="32"/>
          <w:szCs w:val="32"/>
          <w:lang w:val="en-US" w:eastAsia="zh-CN"/>
        </w:rPr>
      </w:pPr>
      <w:r>
        <w:rPr>
          <w:rFonts w:hint="eastAsia" w:ascii="楷体_GB2312" w:hAnsi="楷体_GB2312" w:eastAsia="楷体_GB2312" w:cs="楷体_GB2312"/>
          <w:b/>
          <w:bCs/>
          <w:sz w:val="32"/>
          <w:szCs w:val="32"/>
          <w:lang w:val="en-US" w:eastAsia="zh-CN"/>
        </w:rPr>
        <w:t>（征求意见稿）</w:t>
      </w:r>
    </w:p>
    <w:p>
      <w:pPr>
        <w:bidi w:val="0"/>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为落实省发改委等部门《关于落实国家发展改革委等五部委扎实推进农业水价综合改革的通知》（吉省价格〔2018〕16号）、《关于印发吉林省2021年农业水价综合改革实施计划的通知》（吉发改价格联〔2021〕224号）和《吉林省发展改革委关于进一步加强全省在中型灌区农业用水价格管理的通知》（吉发改价格〔2021〕410号）精神，按照补偿成本、合理收益、公平负担、促进节水、合理制定和调整农业用水价格，区发改局会同水利局拟定了农业用水价格调整工作方案。</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认真落实党中央、国务院和省委、省政府的决策部署，围绕保障国家粮食安全和农业用水安全，以明晰水权、定额管理为前提，严格测算国管大中型灌区农业用水成本，按照成本监审结果合理制定和调整农业水价，将国管大中型灌区骨干工程农业水价调整至不低于工程运行维护成本。</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二、调价原则</w:t>
      </w:r>
    </w:p>
    <w:p>
      <w:pPr>
        <w:numPr>
          <w:ilvl w:val="0"/>
          <w:numId w:val="1"/>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应当遵循公平、公开、公正和效率的原则。</w:t>
      </w:r>
    </w:p>
    <w:p>
      <w:pPr>
        <w:numPr>
          <w:ilvl w:val="0"/>
          <w:numId w:val="1"/>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按照总体上不增加农民负担的原则。</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三、现行价格和拟定价格</w:t>
      </w:r>
    </w:p>
    <w:p>
      <w:pPr>
        <w:bidi w:val="0"/>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双阳区黑顶子水库灌区、双阳区双阳水库</w:t>
      </w:r>
      <w:r>
        <w:rPr>
          <w:rFonts w:hint="eastAsia" w:ascii="仿宋_GB2312" w:hAnsi="仿宋_GB2312" w:eastAsia="仿宋_GB2312" w:cs="仿宋_GB2312"/>
          <w:color w:val="auto"/>
          <w:sz w:val="32"/>
          <w:szCs w:val="32"/>
          <w:highlight w:val="none"/>
          <w:lang w:val="en-US" w:eastAsia="zh-CN"/>
        </w:rPr>
        <w:t>灌区现行执行渠首价格为0.056元/立方米，本次拟定渠首价格为0.085元/立方米，调整幅度为51.79%。</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 w:hAnsi="仿宋" w:eastAsia="仿宋" w:cs="仿宋"/>
          <w:b w:val="0"/>
          <w:bCs w:val="0"/>
          <w:color w:val="auto"/>
          <w:sz w:val="32"/>
          <w:szCs w:val="32"/>
          <w:lang w:val="en-US" w:eastAsia="zh-CN"/>
        </w:rPr>
        <w:t>在实施农业用水总量控制、定额管理和用水户斗渠以下供水计量收费的前提下，可探索实施超定额用水累进加价制度。</w:t>
      </w:r>
      <w:r>
        <w:rPr>
          <w:rFonts w:hint="eastAsia" w:ascii="仿宋" w:hAnsi="仿宋" w:eastAsia="仿宋" w:cs="仿宋"/>
          <w:sz w:val="32"/>
          <w:szCs w:val="32"/>
          <w:lang w:val="en-US" w:eastAsia="zh-CN"/>
        </w:rPr>
        <w:t>超定额用</w:t>
      </w:r>
      <w:r>
        <w:rPr>
          <w:rFonts w:hint="eastAsia" w:ascii="仿宋" w:hAnsi="仿宋" w:eastAsia="仿宋" w:cs="仿宋"/>
          <w:color w:val="000000" w:themeColor="text1"/>
          <w:sz w:val="32"/>
          <w:szCs w:val="32"/>
          <w:lang w:val="en-US" w:eastAsia="zh-CN"/>
          <w14:textFill>
            <w14:solidFill>
              <w14:schemeClr w14:val="tx1"/>
            </w14:solidFill>
          </w14:textFill>
        </w:rPr>
        <w:t>水10%至20%、20%以上至30%、30%以上的，对超出部分按正常水价标准分别</w:t>
      </w:r>
      <w:r>
        <w:rPr>
          <w:rFonts w:hint="eastAsia" w:ascii="仿宋" w:hAnsi="仿宋" w:eastAsia="仿宋" w:cs="仿宋"/>
          <w:b/>
          <w:bCs/>
          <w:color w:val="000000" w:themeColor="text1"/>
          <w:sz w:val="32"/>
          <w:szCs w:val="32"/>
          <w:lang w:val="en-US" w:eastAsia="zh-CN"/>
          <w14:textFill>
            <w14:solidFill>
              <w14:schemeClr w14:val="tx1"/>
            </w14:solidFill>
          </w14:textFill>
        </w:rPr>
        <w:t>加收2</w:t>
      </w:r>
      <w:r>
        <w:rPr>
          <w:rFonts w:hint="eastAsia" w:ascii="仿宋" w:hAnsi="仿宋" w:eastAsia="仿宋" w:cs="仿宋"/>
          <w:b/>
          <w:bCs/>
          <w:color w:val="000000" w:themeColor="text1"/>
          <w:sz w:val="32"/>
          <w:szCs w:val="32"/>
          <w:u w:val="none"/>
          <w:lang w:val="en-US" w:eastAsia="zh-CN"/>
          <w14:textFill>
            <w14:solidFill>
              <w14:schemeClr w14:val="tx1"/>
            </w14:solidFill>
          </w14:textFill>
        </w:rPr>
        <w:t>倍、3倍、4倍</w:t>
      </w:r>
      <w:r>
        <w:rPr>
          <w:rFonts w:hint="eastAsia" w:ascii="仿宋" w:hAnsi="仿宋" w:eastAsia="仿宋" w:cs="仿宋"/>
          <w:b/>
          <w:bCs/>
          <w:color w:val="000000" w:themeColor="text1"/>
          <w:sz w:val="32"/>
          <w:szCs w:val="32"/>
          <w:lang w:val="en-US" w:eastAsia="zh-CN"/>
          <w14:textFill>
            <w14:solidFill>
              <w14:schemeClr w14:val="tx1"/>
            </w14:solidFill>
          </w14:textFill>
        </w:rPr>
        <w:t>的水费。</w:t>
      </w:r>
    </w:p>
    <w:p>
      <w:pPr>
        <w:numPr>
          <w:ilvl w:val="0"/>
          <w:numId w:val="0"/>
        </w:num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四、灌区农业用水成本核定情况</w:t>
      </w:r>
    </w:p>
    <w:p>
      <w:pPr>
        <w:numPr>
          <w:ilvl w:val="0"/>
          <w:numId w:val="0"/>
        </w:numPr>
        <w:bidi w:val="0"/>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（一）灌区基本情况</w:t>
      </w:r>
    </w:p>
    <w:p>
      <w:pPr>
        <w:numPr>
          <w:ilvl w:val="0"/>
          <w:numId w:val="0"/>
        </w:numPr>
        <w:bidi w:val="0"/>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1.黑顶子灌区</w:t>
      </w:r>
      <w:r>
        <w:rPr>
          <w:rFonts w:hint="eastAsia" w:ascii="仿宋_GB2312" w:hAnsi="仿宋_GB2312" w:eastAsia="仿宋_GB2312" w:cs="仿宋_GB2312"/>
          <w:sz w:val="32"/>
          <w:szCs w:val="32"/>
          <w:lang w:val="en-US" w:eastAsia="zh-CN"/>
        </w:rPr>
        <w:t>：设计灌溉面积 10000公顷，年设计供水量为625.36万立方米。2020年实际灌溉面积350公顷，实际利用率为3.5%。实际年用水量约 234.00万立方米。</w:t>
      </w:r>
    </w:p>
    <w:p>
      <w:pPr>
        <w:numPr>
          <w:ilvl w:val="0"/>
          <w:numId w:val="0"/>
        </w:numPr>
        <w:bidi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灌区实际审批编制人数41人，均由财政拨付补助资金开支。</w:t>
      </w:r>
    </w:p>
    <w:p>
      <w:pPr>
        <w:numPr>
          <w:ilvl w:val="0"/>
          <w:numId w:val="0"/>
        </w:numPr>
        <w:tabs>
          <w:tab w:val="left" w:pos="3780"/>
        </w:tabs>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2.双阳水库灌区</w:t>
      </w:r>
      <w:r>
        <w:rPr>
          <w:rFonts w:hint="eastAsia" w:ascii="仿宋_GB2312" w:hAnsi="仿宋_GB2312" w:eastAsia="仿宋_GB2312" w:cs="仿宋_GB2312"/>
          <w:sz w:val="32"/>
          <w:szCs w:val="32"/>
          <w:lang w:val="en-US" w:eastAsia="zh-CN"/>
        </w:rPr>
        <w:t>：设计灌溉面积 36000公顷，年设计供水量为2460万立方米。2020年实际灌溉面积1200公顷，实际利用率为3.33%。年实际用水量约859.23万立方米。</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灌区实际审批编制人数180人，均由财政补助资金开支。</w:t>
      </w:r>
    </w:p>
    <w:p>
      <w:pPr>
        <w:numPr>
          <w:ilvl w:val="0"/>
          <w:numId w:val="0"/>
        </w:numPr>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（二）成本核定情况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制定价格监审办法》第二十二条“核定定价成本应遵循合法性、相关性、合理性原则”和第二十五条“职工人数按照实际在岗职工人数核定，政府有关部门或者行业有明确规定的，不得超过其规定人数”的规定按实际农业用水灌溉管理人员核定。按照成本监报告结果调整我区黑顶子、双阳水库灌区</w:t>
      </w:r>
      <w:r>
        <w:rPr>
          <w:rFonts w:hint="eastAsia" w:ascii="仿宋_GB2312" w:hAnsi="仿宋_GB2312" w:eastAsia="仿宋_GB2312" w:cs="仿宋_GB2312"/>
          <w:b/>
          <w:bCs/>
          <w:sz w:val="32"/>
          <w:szCs w:val="32"/>
          <w:lang w:val="en-US" w:eastAsia="zh-CN"/>
        </w:rPr>
        <w:t>平均运行维护成本为0.085元/立方米。</w:t>
      </w:r>
    </w:p>
    <w:p>
      <w:p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五、调价依据</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1.《价格法》</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2.《政府制定价格行为规则》</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3.《关于印发&lt;吉林省水利工程供水价格管理实施办法&gt;的通知》（吉发改价格联〔2006〕156号）</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4.《关于调整水资源费征收标准及有关问题的通知》（吉省价格〔2013〕304号）</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5.《吉林省人民政府办公厅关于推进农业水价综合改革的实施意见》（吉政办发〔2016〕42号）</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6.《关于落实国家发展改革委等五部委扎实推进农业水价综合改革的通知》（吉省价格〔2018〕16号）</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7.《关于印发吉林省2021年农业水价综合改革实施计划的通知》（吉发改价格〔2021〕224号）</w:t>
      </w:r>
    </w:p>
    <w:p>
      <w:pPr>
        <w:numPr>
          <w:ilvl w:val="0"/>
          <w:numId w:val="0"/>
        </w:numPr>
        <w:bidi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8.《关于进一步加强全省在中型灌区农业用水价格管理的通知》（吉发改价格〔2021〕410号）</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六、实施超定额用水累进征收水资源</w:t>
      </w:r>
      <w:r>
        <w:rPr>
          <w:rFonts w:hint="eastAsia" w:ascii="黑体" w:hAnsi="黑体" w:eastAsia="黑体" w:cs="黑体"/>
          <w:sz w:val="32"/>
          <w:szCs w:val="32"/>
          <w:lang w:val="en-US" w:eastAsia="zh-CN"/>
        </w:rPr>
        <w:t>费</w:t>
      </w:r>
      <w:r>
        <w:rPr>
          <w:rFonts w:hint="eastAsia" w:ascii="黑体" w:hAnsi="黑体" w:eastAsia="黑体" w:cs="黑体"/>
          <w:sz w:val="32"/>
          <w:szCs w:val="32"/>
          <w:lang w:eastAsia="zh-CN"/>
        </w:rPr>
        <w:t>制度</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根据《关于调整水资源费征收标准及有关问题的通知》（吉省价格〔2013〕304号）规定，</w:t>
      </w:r>
      <w:r>
        <w:rPr>
          <w:rFonts w:hint="eastAsia" w:ascii="仿宋" w:hAnsi="仿宋" w:eastAsia="仿宋" w:cs="仿宋"/>
          <w:color w:val="auto"/>
          <w:kern w:val="2"/>
          <w:sz w:val="32"/>
          <w:szCs w:val="32"/>
          <w:lang w:val="en-US" w:eastAsia="zh-CN" w:bidi="ar-SA"/>
        </w:rPr>
        <w:t>在双阳区灌区实施</w:t>
      </w:r>
      <w:r>
        <w:rPr>
          <w:rFonts w:hint="eastAsia" w:ascii="仿宋" w:hAnsi="仿宋" w:eastAsia="仿宋" w:cs="仿宋"/>
          <w:b w:val="0"/>
          <w:bCs w:val="0"/>
          <w:color w:val="auto"/>
          <w:sz w:val="32"/>
          <w:szCs w:val="32"/>
          <w:lang w:val="en-US" w:eastAsia="zh-CN"/>
        </w:rPr>
        <w:t>超定额用水累进征收水资源费制度，超定额用水水资源费由水行政主管部门向灌区管理单位征收。</w:t>
      </w:r>
      <w:r>
        <w:rPr>
          <w:rFonts w:hint="eastAsia" w:ascii="仿宋" w:hAnsi="仿宋" w:eastAsia="仿宋" w:cs="仿宋"/>
          <w:sz w:val="32"/>
          <w:szCs w:val="32"/>
          <w:lang w:val="en-US" w:eastAsia="zh-CN"/>
        </w:rPr>
        <w:t>超定额用水10%至20%、20%以上至30%、30%以上的，对超出部分按规定标准分别加收1倍、2倍、3倍的水资源费。</w:t>
      </w:r>
    </w:p>
    <w:p>
      <w:pPr>
        <w:numPr>
          <w:ilvl w:val="0"/>
          <w:numId w:val="0"/>
        </w:num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七、价格制定程序</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价格制定过程严格按照《政府制定价格行为规则》规定执行，完成价格调查、成本监审、征求意见、集体审议、政府批示工作程序。</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八、其他要求</w:t>
      </w:r>
    </w:p>
    <w:p>
      <w:pPr>
        <w:numPr>
          <w:ilvl w:val="0"/>
          <w:numId w:val="0"/>
        </w:numPr>
        <w:bidi w:val="0"/>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1.根据《关于落实国家发展改革委等五部委扎实推进农业水价综合改革的通知》（吉省价格〔2018〕16号）规定，</w:t>
      </w:r>
      <w:r>
        <w:rPr>
          <w:rFonts w:hint="eastAsia" w:ascii="仿宋_GB2312" w:hAnsi="仿宋_GB2312" w:eastAsia="仿宋_GB2312" w:cs="仿宋_GB2312"/>
          <w:color w:val="auto"/>
          <w:sz w:val="32"/>
          <w:szCs w:val="32"/>
          <w:highlight w:val="none"/>
          <w:lang w:val="en-US" w:eastAsia="zh-CN"/>
        </w:rPr>
        <w:t>按照总体上不增加农民负担的原则，对定额内用水的提价部分根据地方财力状况由财政给予适当补贴，节约部分适当奖励，超定额用水不再予以补贴。</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2.水利工程管理单位的公益性人员基本支出和工程公益性、分维修养护、灌排工程运行、农田水利工程设施维修养护补助、调水费用补助、有关农业奖补资金等费用由财政统筹安排。</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3.水利工程管理单位加强内部管理，提升灌溉管理水平，提高农业用水效率，有效降低供水成本，推动农业用水方式转变。</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4.灌区要实行水价、水量、水费“三公开”制度，提高水费计收工作的透明度，同时要做好百姓的解释疏导工作，及时妥善解决百姓用水方面的矛盾纠纷。</w:t>
      </w: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p>
    <w:p>
      <w:pPr>
        <w:numPr>
          <w:ilvl w:val="0"/>
          <w:numId w:val="0"/>
        </w:numPr>
        <w:bidi w:val="0"/>
        <w:ind w:firstLine="640" w:firstLineChars="200"/>
        <w:jc w:val="both"/>
        <w:rPr>
          <w:rFonts w:hint="eastAsia" w:ascii="仿宋_GB2312" w:hAnsi="仿宋_GB2312" w:eastAsia="仿宋_GB2312" w:cs="仿宋_GB2312"/>
          <w:sz w:val="32"/>
          <w:szCs w:val="32"/>
          <w:lang w:val="en-US" w:eastAsia="zh-CN"/>
        </w:rPr>
      </w:pPr>
    </w:p>
    <w:p>
      <w:pPr>
        <w:numPr>
          <w:ilvl w:val="0"/>
          <w:numId w:val="0"/>
        </w:numPr>
        <w:bidi w:val="0"/>
        <w:ind w:firstLine="2880" w:firstLineChars="9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6580"/>
    <w:multiLevelType w:val="singleLevel"/>
    <w:tmpl w:val="9FFC65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2UzNjYyMmEzNzc0NDIyYzk0MzM4NDVkZjliMzAifQ=="/>
  </w:docVars>
  <w:rsids>
    <w:rsidRoot w:val="5C997C57"/>
    <w:rsid w:val="04F55FF7"/>
    <w:rsid w:val="07083D4D"/>
    <w:rsid w:val="10502A85"/>
    <w:rsid w:val="140B2A67"/>
    <w:rsid w:val="14B72C3F"/>
    <w:rsid w:val="15F80159"/>
    <w:rsid w:val="18DE5BE9"/>
    <w:rsid w:val="19941769"/>
    <w:rsid w:val="1E692B16"/>
    <w:rsid w:val="23296D3F"/>
    <w:rsid w:val="23405216"/>
    <w:rsid w:val="25C24D84"/>
    <w:rsid w:val="26FC4C07"/>
    <w:rsid w:val="27D04BDA"/>
    <w:rsid w:val="286C2F88"/>
    <w:rsid w:val="2CF96CD7"/>
    <w:rsid w:val="2E87706C"/>
    <w:rsid w:val="2EEF56EB"/>
    <w:rsid w:val="317E2E79"/>
    <w:rsid w:val="38400657"/>
    <w:rsid w:val="392F3701"/>
    <w:rsid w:val="3B102BB4"/>
    <w:rsid w:val="3B8D7C6A"/>
    <w:rsid w:val="3E8C33CA"/>
    <w:rsid w:val="41CE2D47"/>
    <w:rsid w:val="44692B43"/>
    <w:rsid w:val="46F93129"/>
    <w:rsid w:val="48C01443"/>
    <w:rsid w:val="4DF00377"/>
    <w:rsid w:val="507F4289"/>
    <w:rsid w:val="56260552"/>
    <w:rsid w:val="56EB581F"/>
    <w:rsid w:val="5B7C092C"/>
    <w:rsid w:val="5C997C57"/>
    <w:rsid w:val="5F18091E"/>
    <w:rsid w:val="5F6F3D51"/>
    <w:rsid w:val="5FA06423"/>
    <w:rsid w:val="5FD04AA6"/>
    <w:rsid w:val="62CE7831"/>
    <w:rsid w:val="658C56E1"/>
    <w:rsid w:val="65B726AA"/>
    <w:rsid w:val="66F43704"/>
    <w:rsid w:val="69877444"/>
    <w:rsid w:val="69B574AE"/>
    <w:rsid w:val="6A425119"/>
    <w:rsid w:val="6E4336C0"/>
    <w:rsid w:val="70014D3F"/>
    <w:rsid w:val="71D43F37"/>
    <w:rsid w:val="725706AF"/>
    <w:rsid w:val="72B646EE"/>
    <w:rsid w:val="72DA23CB"/>
    <w:rsid w:val="736562A1"/>
    <w:rsid w:val="7433042E"/>
    <w:rsid w:val="74510E07"/>
    <w:rsid w:val="76DF2276"/>
    <w:rsid w:val="782117BC"/>
    <w:rsid w:val="79431592"/>
    <w:rsid w:val="799C414E"/>
    <w:rsid w:val="7BB976E3"/>
    <w:rsid w:val="7E02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555555"/>
      <w:u w:val="none"/>
    </w:rPr>
  </w:style>
  <w:style w:type="character" w:styleId="7">
    <w:name w:val="Hyperlink"/>
    <w:basedOn w:val="4"/>
    <w:qFormat/>
    <w:uiPriority w:val="0"/>
    <w:rPr>
      <w:color w:val="555555"/>
      <w:u w:val="none"/>
    </w:rPr>
  </w:style>
  <w:style w:type="character" w:customStyle="1" w:styleId="8">
    <w:name w:val="nth-child(1)2"/>
    <w:basedOn w:val="4"/>
    <w:qFormat/>
    <w:uiPriority w:val="0"/>
  </w:style>
  <w:style w:type="character" w:customStyle="1" w:styleId="9">
    <w:name w:val="nth-child(1)3"/>
    <w:basedOn w:val="4"/>
    <w:qFormat/>
    <w:uiPriority w:val="0"/>
  </w:style>
  <w:style w:type="character" w:customStyle="1" w:styleId="10">
    <w:name w:val="nth-child(1)4"/>
    <w:basedOn w:val="4"/>
    <w:qFormat/>
    <w:uiPriority w:val="0"/>
  </w:style>
  <w:style w:type="character" w:customStyle="1" w:styleId="11">
    <w:name w:val="nth-child(1)5"/>
    <w:basedOn w:val="4"/>
    <w:qFormat/>
    <w:uiPriority w:val="0"/>
    <w:rPr>
      <w:sz w:val="21"/>
      <w:szCs w:val="21"/>
    </w:rPr>
  </w:style>
  <w:style w:type="character" w:customStyle="1" w:styleId="12">
    <w:name w:val="nth-child(1)6"/>
    <w:basedOn w:val="4"/>
    <w:qFormat/>
    <w:uiPriority w:val="0"/>
    <w:rPr>
      <w:sz w:val="27"/>
      <w:szCs w:val="27"/>
    </w:rPr>
  </w:style>
  <w:style w:type="character" w:customStyle="1" w:styleId="13">
    <w:name w:val="nth-child(1)7"/>
    <w:basedOn w:val="4"/>
    <w:qFormat/>
    <w:uiPriority w:val="0"/>
  </w:style>
  <w:style w:type="character" w:customStyle="1" w:styleId="14">
    <w:name w:val="nth-child(2)1"/>
    <w:basedOn w:val="4"/>
    <w:qFormat/>
    <w:uiPriority w:val="0"/>
  </w:style>
  <w:style w:type="character" w:customStyle="1" w:styleId="15">
    <w:name w:val="nth-child(2)2"/>
    <w:basedOn w:val="4"/>
    <w:qFormat/>
    <w:uiPriority w:val="0"/>
  </w:style>
  <w:style w:type="character" w:customStyle="1" w:styleId="16">
    <w:name w:val="nth-child(2)3"/>
    <w:basedOn w:val="4"/>
    <w:qFormat/>
    <w:uiPriority w:val="0"/>
  </w:style>
  <w:style w:type="character" w:customStyle="1" w:styleId="17">
    <w:name w:val="nth-child(2)4"/>
    <w:basedOn w:val="4"/>
    <w:qFormat/>
    <w:uiPriority w:val="0"/>
  </w:style>
  <w:style w:type="character" w:customStyle="1" w:styleId="18">
    <w:name w:val="nth-child(2)5"/>
    <w:basedOn w:val="4"/>
    <w:qFormat/>
    <w:uiPriority w:val="0"/>
  </w:style>
  <w:style w:type="character" w:customStyle="1" w:styleId="19">
    <w:name w:val="nth-child(3)"/>
    <w:basedOn w:val="4"/>
    <w:qFormat/>
    <w:uiPriority w:val="0"/>
  </w:style>
  <w:style w:type="character" w:customStyle="1" w:styleId="20">
    <w:name w:val="nth-child(3)1"/>
    <w:basedOn w:val="4"/>
    <w:qFormat/>
    <w:uiPriority w:val="0"/>
  </w:style>
  <w:style w:type="character" w:customStyle="1" w:styleId="21">
    <w:name w:val="nth-child(3)2"/>
    <w:basedOn w:val="4"/>
    <w:qFormat/>
    <w:uiPriority w:val="0"/>
  </w:style>
  <w:style w:type="character" w:customStyle="1" w:styleId="22">
    <w:name w:val="nth-child(3)3"/>
    <w:basedOn w:val="4"/>
    <w:qFormat/>
    <w:uiPriority w:val="0"/>
  </w:style>
  <w:style w:type="character" w:customStyle="1" w:styleId="23">
    <w:name w:val="nth-child(4)"/>
    <w:basedOn w:val="4"/>
    <w:qFormat/>
    <w:uiPriority w:val="0"/>
  </w:style>
  <w:style w:type="character" w:customStyle="1" w:styleId="24">
    <w:name w:val="nth-child(4)1"/>
    <w:basedOn w:val="4"/>
    <w:qFormat/>
    <w:uiPriority w:val="0"/>
  </w:style>
  <w:style w:type="character" w:customStyle="1" w:styleId="25">
    <w:name w:val="nth-child(5)"/>
    <w:basedOn w:val="4"/>
    <w:qFormat/>
    <w:uiPriority w:val="0"/>
  </w:style>
  <w:style w:type="character" w:customStyle="1" w:styleId="26">
    <w:name w:val="nth-child(5)1"/>
    <w:basedOn w:val="4"/>
    <w:qFormat/>
    <w:uiPriority w:val="0"/>
  </w:style>
  <w:style w:type="character" w:customStyle="1" w:styleId="27">
    <w:name w:val="nth-child(2)"/>
    <w:basedOn w:val="4"/>
    <w:qFormat/>
    <w:uiPriority w:val="0"/>
  </w:style>
  <w:style w:type="character" w:customStyle="1" w:styleId="28">
    <w:name w:val="nth-child(1)"/>
    <w:basedOn w:val="4"/>
    <w:qFormat/>
    <w:uiPriority w:val="0"/>
  </w:style>
  <w:style w:type="character" w:customStyle="1" w:styleId="29">
    <w:name w:val="nth-child(1)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1764</Words>
  <Characters>1923</Characters>
  <Lines>0</Lines>
  <Paragraphs>0</Paragraphs>
  <TotalTime>31</TotalTime>
  <ScaleCrop>false</ScaleCrop>
  <LinksUpToDate>false</LinksUpToDate>
  <CharactersWithSpaces>1926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2021-12-14T05:51:00Z</dcterms:created>
  <dc:creator>Administrator</dc:creator>
  <cp:lastModifiedBy>Administrator</cp:lastModifiedBy>
  <cp:lastPrinted>2022-11-15T02:16:00Z</cp:lastPrinted>
  <dcterms:modified xsi:type="dcterms:W3CDTF">2022-11-16T01:09:19Z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31DBFAA8973D466B9A1F33677D18250E</vt:lpwstr>
  </property>
</Properties>
</file>