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bCs/>
          <w:sz w:val="44"/>
          <w:szCs w:val="44"/>
          <w:lang w:val="en-US" w:eastAsia="zh-CN"/>
        </w:rPr>
        <w:t>长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春市双阳区</w:t>
      </w:r>
      <w:r>
        <w:rPr>
          <w:rFonts w:hint="eastAsia" w:ascii="Times New Roman" w:hAnsi="Times New Roman" w:eastAsia="方正小标宋_GBK" w:cs="Times New Roman"/>
          <w:bCs/>
          <w:sz w:val="44"/>
          <w:szCs w:val="44"/>
          <w:lang w:val="en-US" w:eastAsia="zh-CN"/>
        </w:rPr>
        <w:t>人民政府办公室关于对《长春市双阳区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2022年度县域商业建设行动项目实施方案</w:t>
      </w:r>
      <w:r>
        <w:rPr>
          <w:rFonts w:hint="eastAsia" w:ascii="Times New Roman" w:hAnsi="Times New Roman" w:eastAsia="方正小标宋_GBK" w:cs="Times New Roman"/>
          <w:bCs/>
          <w:sz w:val="44"/>
          <w:szCs w:val="44"/>
          <w:lang w:eastAsia="zh-CN"/>
        </w:rPr>
        <w:t>》</w:t>
      </w:r>
      <w:r>
        <w:rPr>
          <w:rFonts w:hint="eastAsia" w:ascii="Times New Roman" w:hAnsi="Times New Roman" w:eastAsia="方正小标宋_GBK" w:cs="Times New Roman"/>
          <w:bCs/>
          <w:sz w:val="44"/>
          <w:szCs w:val="44"/>
          <w:lang w:val="en-US" w:eastAsia="zh-CN"/>
        </w:rPr>
        <w:t>进行补充调整的通知</w:t>
      </w:r>
    </w:p>
    <w:p>
      <w:pPr>
        <w:pStyle w:val="4"/>
        <w:spacing w:before="114" w:line="222" w:lineRule="auto"/>
        <w:rPr>
          <w:spacing w:val="-30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各街道办事处、乡镇人民政府，经开区管委会，区有关部门：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根据吉林省商务厅、吉林省财政厅联合印发的《关于对2022  年度县域商业建设行动支持项目建设管理存在突出问题加强整   改的通知》(吉商建〔2023〕9号)精神，经区政府研究，决定对《长春市双阳区人民政府办公室关于印发长春市双阳区2022   年度县域商业建设行动项目实施方案的通知》(长双府办函〔2022〕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25号)进行补充调整。现将有关事项通知如下：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bookmarkStart w:id="0" w:name="_Toc102468977"/>
      <w:r>
        <w:rPr>
          <w:rFonts w:hint="default" w:ascii="Times New Roman" w:hAnsi="Times New Roman" w:cs="Times New Roman"/>
        </w:rPr>
        <w:t>一、补充内容</w:t>
      </w:r>
    </w:p>
    <w:p>
      <w:pPr>
        <w:pStyle w:val="4"/>
        <w:spacing w:before="104" w:line="308" w:lineRule="auto"/>
        <w:ind w:right="28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shd w:val="clear" w:color="auto" w:fill="auto"/>
          <w:lang w:val="en-US" w:eastAsia="zh-CN" w:bidi="zh-TW"/>
        </w:rPr>
        <w:t>新增改造农产品商品化预处理中心(基本型)项目，即改造 1个农产品商品化预处理中心。农产品商品化预处理中心重点支 持作业场地建设、服务功能升级两类改造项目。其中，作业场地 改造，中央财政补助资金主要补助室内简易装修、实现不同商品 和服务类型分区作业；对仓库进行冷藏及通风储藏改造；根据消 防安全、防淹排水等有关要求对地面进行硬化改造，配备消防安 全、污水处理等相关设施。服务功能升级，主要补助购买电脑、 打印机、装卸等设备设施；配备中(小)型清洗机、烘干机、打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shd w:val="clear" w:color="auto" w:fill="auto"/>
          <w:lang w:val="en-US" w:eastAsia="zh-CN" w:bidi="zh-TW"/>
        </w:rPr>
        <w:t>包机、真空塑封机等初级农茶品商品化预处理设施；出入库信息数字化管理服务系统。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shd w:val="clear" w:color="auto" w:fill="auto"/>
          <w:lang w:val="en-US" w:eastAsia="zh-CN" w:bidi="zh-TW"/>
        </w:rPr>
        <w:t>农产品商品化预处理中心可按补助比例不</w:t>
      </w:r>
      <w:r>
        <w:rPr>
          <w:spacing w:val="2"/>
          <w:sz w:val="32"/>
          <w:szCs w:val="32"/>
        </w:rPr>
        <w:t>超过项目投资总额的50%的标准给予支持，补助上限不超过</w:t>
      </w:r>
      <w:r>
        <w:rPr>
          <w:spacing w:val="-12"/>
          <w:sz w:val="32"/>
          <w:szCs w:val="32"/>
        </w:rPr>
        <w:t>23</w:t>
      </w:r>
      <w:r>
        <w:rPr>
          <w:spacing w:val="-46"/>
          <w:sz w:val="32"/>
          <w:szCs w:val="32"/>
        </w:rPr>
        <w:t xml:space="preserve"> </w:t>
      </w:r>
      <w:r>
        <w:rPr>
          <w:spacing w:val="-12"/>
          <w:sz w:val="32"/>
          <w:szCs w:val="32"/>
        </w:rPr>
        <w:t>万元。</w:t>
      </w:r>
    </w:p>
    <w:bookmarkEnd w:id="0"/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bookmarkStart w:id="1" w:name="_Toc102468978"/>
      <w:r>
        <w:rPr>
          <w:rFonts w:hint="default" w:ascii="Times New Roman" w:hAnsi="Times New Roman" w:cs="Times New Roman"/>
        </w:rPr>
        <w:t>二、调整内容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1.在“补齐县域商业基础设施短板”项目上，将“升级改造四个商贸中心”调整为升级改造四个商贸中心(基本型);将“建设改造乡镇集贸市场”调整为建设改造乡镇集贸市场(基本型); 将“购买县域商业大数据服务”调整为购买县域商业数字赋能服务。</w:t>
      </w:r>
    </w:p>
    <w:bookmarkEnd w:id="1"/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2.在“完善县乡村三级物流配送体系”项目上，将“改造区级物流配送中心调整为改造区级物流配送中心(基本型);将“建设改造乡镇物流快递站”调整为建设改造乡镇物流快递站(基本型) 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3.在“县域商业咨询管理运营服务”项目上，将“购买县域 商业咨询管理服务可全额补助，最高补助金额不超过23万元/年”调整为购买县域商业咨询管理服务可全额补助，最高补助金额不超过23万元/年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补助资金由区财政负责。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三、其他规定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shd w:val="clear" w:color="auto" w:fill="auto"/>
        </w:rPr>
      </w:pPr>
      <w:r>
        <w:rPr>
          <w:rFonts w:hint="default" w:ascii="Times New Roman" w:hAnsi="Times New Roman" w:cs="Times New Roman"/>
          <w:shd w:val="clear" w:color="auto" w:fill="auto"/>
        </w:rPr>
        <w:t>本通知自印发之日起执行，由区工业和信息化局负责解释。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shd w:val="clear" w:color="auto" w:fill="auto"/>
        </w:rPr>
      </w:pP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shd w:val="clear" w:color="auto" w:fill="auto"/>
        </w:rPr>
      </w:pP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480" w:firstLineChars="1400"/>
        <w:textAlignment w:val="auto"/>
        <w:rPr>
          <w:rFonts w:hint="eastAsia" w:ascii="Times New Roman" w:hAnsi="Times New Roman" w:cs="Times New Roman"/>
          <w:shd w:val="clear" w:color="auto" w:fill="auto"/>
          <w:lang w:val="en-US" w:eastAsia="zh-CN"/>
        </w:rPr>
      </w:pPr>
      <w:r>
        <w:rPr>
          <w:rFonts w:hint="eastAsia" w:ascii="Times New Roman" w:hAnsi="Times New Roman" w:cs="Times New Roman"/>
          <w:shd w:val="clear" w:color="auto" w:fill="auto"/>
          <w:lang w:val="en-US" w:eastAsia="zh-CN"/>
        </w:rPr>
        <w:t>长春市双阳区人民政府办公室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440" w:firstLineChars="1700"/>
        <w:textAlignment w:val="auto"/>
        <w:rPr>
          <w:rFonts w:hint="default" w:ascii="Times New Roman" w:hAnsi="Times New Roman" w:cs="Times New Roman"/>
          <w:shd w:val="clear" w:color="auto" w:fill="auto"/>
          <w:lang w:val="en-US" w:eastAsia="zh-CN"/>
        </w:rPr>
      </w:pPr>
      <w:r>
        <w:rPr>
          <w:rFonts w:hint="eastAsia" w:ascii="Times New Roman" w:hAnsi="Times New Roman" w:cs="Times New Roman"/>
          <w:shd w:val="clear" w:color="auto" w:fill="auto"/>
          <w:lang w:val="en-US" w:eastAsia="zh-CN"/>
        </w:rPr>
        <w:t>2023年10月30日</w:t>
      </w:r>
    </w:p>
    <w:p>
      <w:bookmarkStart w:id="2" w:name="_GoBack"/>
      <w:bookmarkEnd w:id="2"/>
    </w:p>
    <w:sectPr>
      <w:footerReference r:id="rId3" w:type="default"/>
      <w:pgSz w:w="11906" w:h="16838"/>
      <w:pgMar w:top="2098" w:right="1531" w:bottom="1417" w:left="1531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D7EB674-79AA-41ED-8C53-1176B66D792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  <w:embedRegular r:id="rId2" w:fontKey="{BBA87922-7ED4-48D3-B216-181E5B364E39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20B2690C-2D36-48AE-AF47-1B7F7D121BC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 w:ascii="仿宋_GB2312" w:eastAsia="仿宋_GB2312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jc w:val="center"/>
                          </w:pPr>
                          <w:r>
                            <w:rPr>
                              <w:rFonts w:hint="eastAsia" w:ascii="仿宋_GB2312" w:eastAsia="仿宋_GB2312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eastAsia="仿宋_GB2312"/>
                              <w:sz w:val="30"/>
                              <w:szCs w:val="30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仿宋_GB2312" w:eastAsia="仿宋_GB2312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eastAsia="仿宋_GB2312"/>
                              <w:sz w:val="30"/>
                              <w:szCs w:val="30"/>
                              <w:lang w:val="zh-CN"/>
                            </w:rPr>
                            <w:t>11</w:t>
                          </w:r>
                          <w:r>
                            <w:rPr>
                              <w:rFonts w:hint="eastAsia" w:ascii="仿宋_GB2312" w:eastAsia="仿宋_GB2312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</w:pPr>
                    <w:r>
                      <w:rPr>
                        <w:rFonts w:hint="eastAsia" w:ascii="仿宋_GB2312" w:eastAsia="仿宋_GB2312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仿宋_GB2312" w:eastAsia="仿宋_GB2312"/>
                        <w:sz w:val="30"/>
                        <w:szCs w:val="30"/>
                      </w:rPr>
                      <w:instrText xml:space="preserve">PAGE   \* MERGEFORMAT</w:instrText>
                    </w:r>
                    <w:r>
                      <w:rPr>
                        <w:rFonts w:hint="eastAsia" w:ascii="仿宋_GB2312" w:eastAsia="仿宋_GB2312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仿宋_GB2312" w:eastAsia="仿宋_GB2312"/>
                        <w:sz w:val="30"/>
                        <w:szCs w:val="30"/>
                        <w:lang w:val="zh-CN"/>
                      </w:rPr>
                      <w:t>11</w:t>
                    </w:r>
                    <w:r>
                      <w:rPr>
                        <w:rFonts w:hint="eastAsia" w:ascii="仿宋_GB2312" w:eastAsia="仿宋_GB2312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hMjZhMzlmMjNkYTYyMjZmZGNkZmI5YzhkZjM3N2IifQ=="/>
  </w:docVars>
  <w:rsids>
    <w:rsidRoot w:val="00000000"/>
    <w:rsid w:val="3728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50" w:beforeLines="50" w:after="50" w:afterLines="50" w:line="560" w:lineRule="exact"/>
      <w:outlineLvl w:val="1"/>
    </w:pPr>
    <w:rPr>
      <w:rFonts w:ascii="Arial" w:hAnsi="Arial" w:eastAsia="黑体"/>
      <w:sz w:val="32"/>
      <w:szCs w:val="36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Text"/>
    <w:basedOn w:val="1"/>
    <w:qFormat/>
    <w:uiPriority w:val="151"/>
    <w:rPr>
      <w:rFonts w:ascii="宋体" w:hAnsi="Courier New"/>
    </w:r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正文1"/>
    <w:basedOn w:val="9"/>
    <w:qFormat/>
    <w:uiPriority w:val="0"/>
    <w:pPr>
      <w:spacing w:line="560" w:lineRule="exact"/>
      <w:ind w:firstLine="640" w:firstLineChars="200"/>
    </w:pPr>
    <w:rPr>
      <w:rFonts w:ascii="仿宋_GB2312" w:eastAsia="仿宋_GB2312" w:cs="仿宋"/>
      <w:bCs/>
      <w:sz w:val="32"/>
      <w:szCs w:val="32"/>
      <w:shd w:val="clear" w:color="auto" w:fill="FFFFFF"/>
      <w:lang w:val="en-US" w:eastAsia="zh-CN"/>
    </w:rPr>
  </w:style>
  <w:style w:type="paragraph" w:customStyle="1" w:styleId="9">
    <w:name w:val="Body text|1"/>
    <w:basedOn w:val="1"/>
    <w:qFormat/>
    <w:uiPriority w:val="0"/>
    <w:pPr>
      <w:spacing w:line="449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2023-11-03T07:39:49Z</dcterms:created>
  <dc:creator>Administrator</dc:creator>
  <cp:lastModifiedBy>Tang☀️☘</cp:lastModifiedBy>
  <dcterms:modified xsi:type="dcterms:W3CDTF">2023-11-03T07:39:53Z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7B20AAAF3EB6419DB848498DD1322B3E_12</vt:lpwstr>
  </property>
</Properties>
</file>