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D5838">
      <w:pPr>
        <w:spacing w:line="54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双阳区关于</w:t>
      </w:r>
      <w:r>
        <w:rPr>
          <w:rFonts w:hint="eastAsia" w:ascii="方正小标宋简体" w:hAnsi="仿宋" w:eastAsia="方正小标宋简体"/>
          <w:sz w:val="44"/>
          <w:szCs w:val="44"/>
          <w:lang w:eastAsia="zh-CN"/>
        </w:rPr>
        <w:t>第二轮中央</w:t>
      </w:r>
      <w:r>
        <w:rPr>
          <w:rFonts w:hint="eastAsia" w:ascii="方正小标宋简体" w:hAnsi="仿宋" w:eastAsia="方正小标宋简体"/>
          <w:sz w:val="44"/>
          <w:szCs w:val="44"/>
        </w:rPr>
        <w:t>生态环境保护督察信访案件完成情况公示表</w:t>
      </w:r>
    </w:p>
    <w:tbl>
      <w:tblPr>
        <w:tblStyle w:val="8"/>
        <w:tblpPr w:leftFromText="180" w:rightFromText="180" w:vertAnchor="text" w:horzAnchor="page" w:tblpX="1252" w:tblpY="601"/>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611"/>
        <w:gridCol w:w="5885"/>
        <w:gridCol w:w="1892"/>
        <w:gridCol w:w="3997"/>
      </w:tblGrid>
      <w:tr w14:paraId="6D1D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82" w:type="dxa"/>
            <w:vAlign w:val="center"/>
          </w:tcPr>
          <w:p w14:paraId="1E6E3197">
            <w:pPr>
              <w:spacing w:line="300" w:lineRule="exact"/>
              <w:jc w:val="center"/>
              <w:rPr>
                <w:rFonts w:ascii="仿宋" w:hAnsi="仿宋" w:eastAsia="仿宋"/>
                <w:sz w:val="24"/>
              </w:rPr>
            </w:pPr>
            <w:r>
              <w:rPr>
                <w:rFonts w:hint="eastAsia" w:ascii="仿宋" w:hAnsi="仿宋" w:eastAsia="仿宋"/>
                <w:sz w:val="24"/>
              </w:rPr>
              <w:t>案件</w:t>
            </w:r>
          </w:p>
          <w:p w14:paraId="31CAB50D">
            <w:pPr>
              <w:spacing w:line="300" w:lineRule="exact"/>
              <w:jc w:val="center"/>
              <w:rPr>
                <w:rFonts w:ascii="仿宋" w:hAnsi="仿宋" w:eastAsia="仿宋"/>
                <w:sz w:val="24"/>
              </w:rPr>
            </w:pPr>
            <w:r>
              <w:rPr>
                <w:rFonts w:hint="eastAsia" w:ascii="仿宋" w:hAnsi="仿宋" w:eastAsia="仿宋"/>
                <w:sz w:val="24"/>
              </w:rPr>
              <w:t>编号</w:t>
            </w:r>
          </w:p>
        </w:tc>
        <w:tc>
          <w:tcPr>
            <w:tcW w:w="1611" w:type="dxa"/>
            <w:vAlign w:val="center"/>
          </w:tcPr>
          <w:p w14:paraId="27264FC5">
            <w:pPr>
              <w:spacing w:line="540" w:lineRule="exact"/>
              <w:jc w:val="center"/>
              <w:rPr>
                <w:rFonts w:ascii="仿宋" w:hAnsi="仿宋" w:eastAsia="仿宋"/>
                <w:sz w:val="24"/>
              </w:rPr>
            </w:pPr>
            <w:r>
              <w:rPr>
                <w:rFonts w:hint="eastAsia" w:ascii="仿宋" w:hAnsi="仿宋" w:eastAsia="仿宋"/>
                <w:sz w:val="24"/>
              </w:rPr>
              <w:t>交办问题</w:t>
            </w:r>
          </w:p>
        </w:tc>
        <w:tc>
          <w:tcPr>
            <w:tcW w:w="5885" w:type="dxa"/>
            <w:vAlign w:val="center"/>
          </w:tcPr>
          <w:p w14:paraId="6059F840">
            <w:pPr>
              <w:spacing w:line="540" w:lineRule="exact"/>
              <w:jc w:val="center"/>
              <w:rPr>
                <w:rFonts w:ascii="仿宋" w:hAnsi="仿宋" w:eastAsia="仿宋"/>
                <w:sz w:val="24"/>
              </w:rPr>
            </w:pPr>
            <w:r>
              <w:rPr>
                <w:rFonts w:hint="eastAsia" w:ascii="仿宋" w:hAnsi="仿宋" w:eastAsia="仿宋"/>
                <w:sz w:val="24"/>
              </w:rPr>
              <w:t>调查处理情况</w:t>
            </w:r>
          </w:p>
        </w:tc>
        <w:tc>
          <w:tcPr>
            <w:tcW w:w="1892" w:type="dxa"/>
            <w:vAlign w:val="center"/>
          </w:tcPr>
          <w:p w14:paraId="14145590">
            <w:pPr>
              <w:spacing w:line="540" w:lineRule="exact"/>
              <w:jc w:val="center"/>
              <w:rPr>
                <w:rFonts w:ascii="仿宋" w:hAnsi="仿宋" w:eastAsia="仿宋"/>
                <w:sz w:val="24"/>
              </w:rPr>
            </w:pPr>
            <w:r>
              <w:rPr>
                <w:rFonts w:hint="eastAsia" w:ascii="仿宋" w:hAnsi="仿宋" w:eastAsia="仿宋"/>
                <w:sz w:val="24"/>
              </w:rPr>
              <w:t>办结时限</w:t>
            </w:r>
          </w:p>
        </w:tc>
        <w:tc>
          <w:tcPr>
            <w:tcW w:w="3997" w:type="dxa"/>
            <w:vAlign w:val="center"/>
          </w:tcPr>
          <w:p w14:paraId="3FA1F97A">
            <w:pPr>
              <w:spacing w:line="540" w:lineRule="exact"/>
              <w:jc w:val="center"/>
              <w:rPr>
                <w:rFonts w:ascii="仿宋" w:hAnsi="仿宋" w:eastAsia="仿宋"/>
                <w:sz w:val="24"/>
              </w:rPr>
            </w:pPr>
            <w:r>
              <w:rPr>
                <w:rFonts w:hint="eastAsia" w:ascii="仿宋" w:hAnsi="仿宋" w:eastAsia="仿宋"/>
                <w:sz w:val="24"/>
              </w:rPr>
              <w:t>整改完成情况</w:t>
            </w:r>
          </w:p>
        </w:tc>
      </w:tr>
      <w:tr w14:paraId="7C67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8" w:hRule="atLeast"/>
        </w:trPr>
        <w:tc>
          <w:tcPr>
            <w:tcW w:w="1182" w:type="dxa"/>
            <w:vAlign w:val="center"/>
          </w:tcPr>
          <w:p w14:paraId="3F771096">
            <w:pPr>
              <w:spacing w:line="5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3072</w:t>
            </w:r>
          </w:p>
        </w:tc>
        <w:tc>
          <w:tcPr>
            <w:tcW w:w="1611" w:type="dxa"/>
            <w:vAlign w:val="center"/>
          </w:tcPr>
          <w:p w14:paraId="0EA0F8CF">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both"/>
              <w:textAlignment w:val="auto"/>
              <w:rPr>
                <w:rFonts w:hint="eastAsia" w:ascii="仿宋_GB2312" w:hAnsi="仿宋_GB2312" w:eastAsia="仿宋_GB2312" w:cs="仿宋_GB2312"/>
                <w:sz w:val="21"/>
                <w:szCs w:val="21"/>
              </w:rPr>
            </w:pPr>
            <w:r>
              <w:rPr>
                <w:rFonts w:hint="eastAsia" w:ascii="仿宋" w:hAnsi="仿宋" w:eastAsia="仿宋" w:cs="仿宋"/>
                <w:sz w:val="21"/>
                <w:szCs w:val="21"/>
                <w:highlight w:val="none"/>
                <w:lang w:val="en-US" w:eastAsia="zh-CN"/>
              </w:rPr>
              <w:t>举报人对8月27日、9月15日向中央环保督察组反映的"鹿乡镇常家村2舍有峰矿业破坏林地六七万平，耕地三四万平，盗窃国家矿产资源四十万立。"的处理结果不满意，相关部门给出的调查结果与现实不符，答复有峰矿业破坏林地六千五百多平，盗取国家矿产资源一千八多立，诉求人表示相关部门回复不属实，希望重新调查。</w:t>
            </w:r>
          </w:p>
        </w:tc>
        <w:tc>
          <w:tcPr>
            <w:tcW w:w="5885" w:type="dxa"/>
            <w:vAlign w:val="center"/>
          </w:tcPr>
          <w:p w14:paraId="51D724E9">
            <w:pPr>
              <w:ind w:firstLine="420" w:firstLineChars="200"/>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经调查，群众反映问题部分属实。此案件与本轮环保督察第2批省内编号148号、第5批省内编号454号、第21批省内编号2707号案件重复。群众反映的有峰矿业破坏林地、耕地情况属实，盗采国家矿产资源四十万立不属实，但存在越界开采违法行为。</w:t>
            </w:r>
          </w:p>
          <w:p w14:paraId="0BA7C582">
            <w:pPr>
              <w:ind w:firstLine="420" w:firstLineChars="200"/>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2021年9月18日，长春市双阳区自然资源局、长春市双阳区鹿乡镇人民政府工作人员现场调查核实：举报反映的长春市双阳区有峰矿业有限公司，位于双阳区鹿乡镇常家村九社，法人为韩某某，取得了采矿许可证（许可证号为：C2201122009047120012378，采矿许可证有效期：2018年9月17日至2022年1月17日）、安全生产许可证和环评手续，无用地和林业手续，主要产品为制灰用石灰岩。2007年至2020年，长春市双阳区有峰矿业有</w:t>
            </w:r>
            <w:bookmarkStart w:id="0" w:name="_GoBack"/>
            <w:bookmarkEnd w:id="0"/>
            <w:r>
              <w:rPr>
                <w:rFonts w:hint="eastAsia" w:ascii="仿宋" w:hAnsi="仿宋" w:eastAsia="仿宋" w:cs="仿宋"/>
                <w:kern w:val="0"/>
                <w:szCs w:val="21"/>
                <w:highlight w:val="none"/>
                <w:lang w:val="en-US" w:eastAsia="zh-CN"/>
              </w:rPr>
              <w:t>限公司因未经审批违法占用林地被行政处罚共计6次，涉及面积合计26496平方米；2018年以来，该公司对具备恢复条件的地块开展了植树造林工作，恢复林地5488平方米。2021年4月25日，双阳区自然资源局按照《双阳区非煤矿山专项整治行动实施方案》要求，对该公司下达了《责令停产停业整顿通知书》，责令其停止违法行为、完善相关审批手续。该公司自2021年5月份至今处于停产状态，并按照《吉林省自然资源厅 吉林省生态环境厅 吉林省应急管理厅 吉林省林业和草原局关于支持建筑石料矿山开采保障市场供应的意见》（吉自然资发〔2020〕1号）要求，正在办理林业审批手续，待取得林业审批手续后，再办理采矿临时用地手续。目前，该公司尚未取得吉林省林业和草原局使用林地批复。</w:t>
            </w:r>
          </w:p>
          <w:p w14:paraId="3FFD426B">
            <w:pPr>
              <w:ind w:firstLine="420" w:firstLineChars="200"/>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 xml:space="preserve"> 群众反映的有峰矿业破坏林地、耕地情况属实，盗采国家矿产资源四十万立不属实，但存在越界开采违法行为。   </w:t>
            </w:r>
          </w:p>
          <w:p w14:paraId="6ED90800">
            <w:pPr>
              <w:ind w:firstLine="420" w:firstLineChars="200"/>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 xml:space="preserve"> 2021年8月9日，双阳区自然资源局接到鹿乡镇自然资源科上报的《动态巡查紧急报告卡》，反映长春市双阳区有峰矿业有限公司占用耕地约4000平方米。经查该宗地无备案，规划用途为一般农田。2021年8月10日双阳区国土资源执法监察大队以非法占地对其立案查处（立案编号：长双自然资（监）立〔2021〕36号）。经查，该公司1996年以来累计违法占用耕地23070平方米。在查处该公司占用耕地的同时，发现该公司还存在违法占用林地问题，双阳区自然资源局委托吉林名润林业工程咨询有限公司对其擅自改变林地用途面积进行测绘，测绘结果为6350平方米。经调查该公司2021年2月至3月存在越界开采违法行为，但不属于盗采，且越界开采数量与举报数字相差悬殊。按照2021年7月30日长春市规划和自然资源局下发的《关于查处2021年上半年全市矿业权检测越界矿山和进一步强化全市有证矿山监管工作的通知》（长规自然矿〔2021〕4号）要求，双阳区自然资源局于2021年8月17日委托吉林省第一地质调查所对长春市双阳区有峰矿业有限公司越界开采总量进行实地测量，测量结果为越界开采石灰岩矿石形成的资源量1879.81立方米。</w:t>
            </w:r>
          </w:p>
          <w:p w14:paraId="666A841B">
            <w:pPr>
              <w:ind w:firstLine="420" w:firstLineChars="200"/>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截至2021年9月20日，长春市双阳区有峰矿业有限公司擅自改变林地用途案件已完成调查工作；占用耕地案件正处在调查阶段，其行为已涉嫌违反《中华人民共和国刑法》第三百四十二条之规定，长春市双阳区自然资源局将在对其下达《行政处罚决定书》后，对非法占用土地的直接责任人员，移送公安机关依法追究其刑事责任；越界开采案件正处在调查阶段。双阳区纪委监委对双阳区自然资源局和双阳区鹿乡镇政府相关责任人监管不到位进行了问责。</w:t>
            </w:r>
          </w:p>
          <w:p w14:paraId="33834823">
            <w:pPr>
              <w:ind w:firstLine="420" w:firstLineChars="200"/>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 xml:space="preserve"> 8月27日投诉的是受理编号：D2JL202108270012案件（第2批省内编号148号），主要投诉内容为“举报问题反映：一是鹿乡镇常家村2舍，有峰创业矿山公司大面积砍伐村内林地树木，用挖掘机破坏耕地；二是有峰创业矿山公司盗采村内矿产资源30万立方。” </w:t>
            </w:r>
          </w:p>
          <w:p w14:paraId="28B0ECB3">
            <w:pPr>
              <w:ind w:firstLine="420" w:firstLineChars="200"/>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 xml:space="preserve"> 8月30日投诉的是受理编号：X2JL202108300032（第5批省内编号454）主要投诉内容为：“一是举报双阳区有峰矿业有限公司超范围盗采矿产资源，盗伐林木，破坏开采区域生态环境；二是举报长春市国土资源局双阳分局不作为，恶意包庇。”</w:t>
            </w:r>
          </w:p>
          <w:p w14:paraId="36A48554">
            <w:pPr>
              <w:ind w:firstLine="420" w:firstLineChars="200"/>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 xml:space="preserve"> 9月15日投诉案件编号D2JL202109150005（省内编号2707）主要内容：“举报人对之前反映的受理编号为X2JL202108300032案件处理结果不满意。”，实际为对第5批省内编号454案件答复不满意。</w:t>
            </w:r>
          </w:p>
          <w:p w14:paraId="5245A0AA">
            <w:pPr>
              <w:ind w:firstLine="420" w:firstLineChars="200"/>
              <w:jc w:val="left"/>
              <w:rPr>
                <w:rFonts w:hint="eastAsia" w:ascii="仿宋_GB2312" w:hAnsi="仿宋_GB2312" w:eastAsia="仿宋_GB2312" w:cs="仿宋_GB2312"/>
                <w:sz w:val="21"/>
                <w:szCs w:val="21"/>
              </w:rPr>
            </w:pPr>
            <w:r>
              <w:rPr>
                <w:rFonts w:hint="eastAsia" w:ascii="仿宋" w:hAnsi="仿宋" w:eastAsia="仿宋" w:cs="仿宋"/>
                <w:kern w:val="0"/>
                <w:szCs w:val="21"/>
                <w:highlight w:val="none"/>
                <w:lang w:val="en-US" w:eastAsia="zh-CN"/>
              </w:rPr>
              <w:t xml:space="preserve">    </w:t>
            </w:r>
          </w:p>
        </w:tc>
        <w:tc>
          <w:tcPr>
            <w:tcW w:w="1892" w:type="dxa"/>
            <w:vAlign w:val="center"/>
          </w:tcPr>
          <w:p w14:paraId="1C23F745">
            <w:pPr>
              <w:spacing w:line="540" w:lineRule="exact"/>
              <w:rPr>
                <w:rFonts w:hint="default" w:ascii="方正小标宋简体" w:hAnsi="仿宋" w:eastAsia="方正小标宋简体"/>
                <w:sz w:val="44"/>
                <w:szCs w:val="44"/>
                <w:lang w:val="en-US" w:eastAsia="zh-CN"/>
              </w:rPr>
            </w:pPr>
            <w:r>
              <w:rPr>
                <w:rFonts w:hint="eastAsia" w:ascii="仿宋_GB2312" w:hAnsi="仿宋_GB2312" w:eastAsia="仿宋_GB2312" w:cs="仿宋_GB2312"/>
                <w:sz w:val="21"/>
                <w:szCs w:val="21"/>
                <w:lang w:val="en-US" w:eastAsia="zh-CN"/>
              </w:rPr>
              <w:t>2025年12月31日</w:t>
            </w:r>
          </w:p>
        </w:tc>
        <w:tc>
          <w:tcPr>
            <w:tcW w:w="3997" w:type="dxa"/>
            <w:vAlign w:val="center"/>
          </w:tcPr>
          <w:p w14:paraId="4EFCBBF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有峰矿业已列入我区新一轮矿山整合规划，整合后矿山名称为长春市双阳区鹿乡镇孙家沟建筑石料用灰岩矿。2023年9月28日，双阳区自然资源局已新审批采矿权并核发《采矿许可证》，证号为C2201122023097150155692，有效期限自2023年9月28日至2034年9月28日，采矿权人为长春市金裕矿业有限公司。目前该矿山正在履行相关审批手续，按照绿色矿山建设标准进行建设。同时，按照金裕矿业编制备案的《矿山地质环境保护与土地复垦方案》所确定的年度治理任务，履行相关义务。</w:t>
            </w:r>
          </w:p>
          <w:p w14:paraId="31F5B8A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针对有峰矿业涉及越界开采问题：双阳区自然资源局已立案查处并下达《行政处罚决定书》，编号分别为长国土资双（监）罚〔2017〕13号、长双自然资（监）罚〔2021〕43号、长双自然资（监）罚〔2022〕3号。</w:t>
            </w:r>
          </w:p>
          <w:p w14:paraId="3A5B31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针对有峰矿业非法占用林地问题：双阳区自然资源局已立案查处并下达《行政处罚决定书》，编号分别为长双（鹿）林罚决字〔2018〕21号、长双自然资林（总场）罚决字〔2020〕14号、长双自然资林（总场）罚决字〔2020〕16号、（长双自然资林（总场）罚决字〔2020〕18号、长双自然资林（总场）罚决字〔2021〕25号。</w:t>
            </w:r>
          </w:p>
          <w:p w14:paraId="6B13A9D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针对有峰矿业破坏耕地问题：双阳区自然资源局于2021年8月13日立案调查，2024年9月13日向违法当事人下达了《行政处罚决定书》（长双自然资（监）罚〔2121〕36号），因违法当事人对处罚决定不服，提出行政复议，2025年3月14日我局依据行政复议决定对2024年9月13日向违法当事人下达的《行政处罚决定书》进行撤案处理。2025年6月20日，我局对长春市双阳区有峰矿业有限公司违法占地重新立案调查，2025年9月19日我局对长春市双阳区有峰矿业有限公司下达《行政处罚决定书》长双自然资（调）罚〔2025〕5号，针对有峰矿业非法占用土地未恢复问题，我局已于2025年10月29日向长春市双阳区人民法院申请强制执行，2025年10月30日长春市双阳区人民法院已受理该案件。</w:t>
            </w:r>
          </w:p>
          <w:p w14:paraId="19283A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1"/>
                <w:szCs w:val="21"/>
                <w:lang w:val="en-US" w:eastAsia="zh-CN"/>
              </w:rPr>
            </w:pPr>
            <w:r>
              <w:rPr>
                <w:rFonts w:hint="eastAsia" w:ascii="仿宋" w:hAnsi="仿宋" w:eastAsia="仿宋" w:cs="仿宋"/>
                <w:kern w:val="2"/>
                <w:sz w:val="21"/>
                <w:szCs w:val="21"/>
                <w:highlight w:val="none"/>
                <w:lang w:val="en-US" w:eastAsia="zh-CN" w:bidi="ar-SA"/>
              </w:rPr>
              <w:t>按照《中共长春市双阳区委办公室长春市双阳区人民政府办公室关于印发进一步加强自然资源管理建立联动长效机制的若干意见的通知》（长双办发〔2023〕17号）文件要求，明确了由各乡镇（街道）落实巡查责任，加大矿山日常巡查监管力度，建立违法建设信息网络，及时掌握违法建设情况，发现违法行为、及时下发《责令停止违法行为通知书》、《责令改正违法行为通知书》,将违法建设遏制在初始状态，坚决杜绝类似违法行为再次发生。</w:t>
            </w:r>
          </w:p>
        </w:tc>
      </w:tr>
    </w:tbl>
    <w:p w14:paraId="199DD02A"/>
    <w:sectPr>
      <w:pgSz w:w="16838" w:h="11906" w:orient="landscape"/>
      <w:pgMar w:top="1531" w:right="1701" w:bottom="1531" w:left="1418"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Njk1MDEyOGYxYzQ3YjQ2ZDA1YzMwNDhjNzQ2NjYifQ=="/>
  </w:docVars>
  <w:rsids>
    <w:rsidRoot w:val="008E7CC0"/>
    <w:rsid w:val="0002026F"/>
    <w:rsid w:val="007E6DD0"/>
    <w:rsid w:val="008E7CC0"/>
    <w:rsid w:val="00973EE0"/>
    <w:rsid w:val="00B64BF3"/>
    <w:rsid w:val="00BF3F41"/>
    <w:rsid w:val="00F50DB3"/>
    <w:rsid w:val="02C8678C"/>
    <w:rsid w:val="03EE1218"/>
    <w:rsid w:val="046C11AF"/>
    <w:rsid w:val="05134298"/>
    <w:rsid w:val="0ADC0F7C"/>
    <w:rsid w:val="0DDB32E6"/>
    <w:rsid w:val="0FB27BD7"/>
    <w:rsid w:val="10307238"/>
    <w:rsid w:val="106E4B7E"/>
    <w:rsid w:val="11885826"/>
    <w:rsid w:val="14415D57"/>
    <w:rsid w:val="145E55F3"/>
    <w:rsid w:val="171D0D4F"/>
    <w:rsid w:val="1B222279"/>
    <w:rsid w:val="1DAD1E0F"/>
    <w:rsid w:val="233137A5"/>
    <w:rsid w:val="2550347D"/>
    <w:rsid w:val="259B084C"/>
    <w:rsid w:val="268C2457"/>
    <w:rsid w:val="2A324206"/>
    <w:rsid w:val="2CF118A6"/>
    <w:rsid w:val="2F115981"/>
    <w:rsid w:val="2F7441D1"/>
    <w:rsid w:val="31925430"/>
    <w:rsid w:val="34401713"/>
    <w:rsid w:val="37F175DF"/>
    <w:rsid w:val="3F480357"/>
    <w:rsid w:val="42C43A92"/>
    <w:rsid w:val="42EB5C6D"/>
    <w:rsid w:val="439E6DFE"/>
    <w:rsid w:val="45775EEC"/>
    <w:rsid w:val="491B1187"/>
    <w:rsid w:val="49EE36B6"/>
    <w:rsid w:val="4B0E580E"/>
    <w:rsid w:val="4B975060"/>
    <w:rsid w:val="4F117F6D"/>
    <w:rsid w:val="533C0E8B"/>
    <w:rsid w:val="5B20031B"/>
    <w:rsid w:val="5B2560A5"/>
    <w:rsid w:val="5B344BFF"/>
    <w:rsid w:val="65520662"/>
    <w:rsid w:val="6A2B17DE"/>
    <w:rsid w:val="6AC97D3F"/>
    <w:rsid w:val="6F113FC8"/>
    <w:rsid w:val="714346AA"/>
    <w:rsid w:val="784319E7"/>
    <w:rsid w:val="7E356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4"/>
    <w:unhideWhenUsed/>
    <w:qFormat/>
    <w:uiPriority w:val="99"/>
    <w:pPr>
      <w:ind w:firstLine="560" w:firstLineChars="200"/>
    </w:pPr>
    <w:rPr>
      <w:rFonts w:ascii="Times New Roman" w:hAnsi="Times New Roman"/>
      <w:sz w:val="28"/>
    </w:rPr>
  </w:style>
  <w:style w:type="paragraph" w:styleId="4">
    <w:name w:val="Normal Indent"/>
    <w:basedOn w:val="1"/>
    <w:next w:val="5"/>
    <w:qFormat/>
    <w:uiPriority w:val="0"/>
    <w:pPr>
      <w:ind w:firstLine="420" w:firstLineChars="200"/>
    </w:pPr>
    <w:rPr>
      <w:rFonts w:eastAsia="仿宋"/>
      <w:sz w:val="32"/>
    </w:rPr>
  </w:style>
  <w:style w:type="paragraph" w:styleId="5">
    <w:name w:val="toc 2"/>
    <w:basedOn w:val="1"/>
    <w:next w:val="1"/>
    <w:qFormat/>
    <w:uiPriority w:val="0"/>
    <w:pPr>
      <w:ind w:left="420" w:leftChars="2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34"/>
    <w:pPr>
      <w:ind w:firstLine="420" w:firstLineChars="200"/>
    </w:pPr>
  </w:style>
  <w:style w:type="character" w:customStyle="1" w:styleId="11">
    <w:name w:val="页眉 Char"/>
    <w:basedOn w:val="9"/>
    <w:link w:val="7"/>
    <w:qFormat/>
    <w:uiPriority w:val="0"/>
    <w:rPr>
      <w:rFonts w:ascii="Times New Roman" w:hAnsi="Times New Roman"/>
      <w:kern w:val="2"/>
      <w:sz w:val="18"/>
      <w:szCs w:val="18"/>
    </w:rPr>
  </w:style>
  <w:style w:type="character" w:customStyle="1" w:styleId="12">
    <w:name w:val="页脚 Char"/>
    <w:basedOn w:val="9"/>
    <w:link w:val="6"/>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2468</Words>
  <Characters>2751</Characters>
  <Lines>13</Lines>
  <Paragraphs>3</Paragraphs>
  <TotalTime>18</TotalTime>
  <ScaleCrop>false</ScaleCrop>
  <LinksUpToDate>false</LinksUpToDate>
  <CharactersWithSpaces>2767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2019-08-02T08:09:00Z</dcterms:created>
  <dc:creator>Comix</dc:creator>
  <cp:lastModifiedBy>imp</cp:lastModifiedBy>
  <cp:lastPrinted>2025-10-30T07:18:30Z</cp:lastPrinted>
  <dcterms:modified xsi:type="dcterms:W3CDTF">2025-10-30T07:19:47Z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0E9EBCDB64F34D12B57A1582C0F49AD7_13</vt:lpwstr>
  </property>
  <property fmtid="{D5CDD505-2E9C-101B-9397-08002B2CF9AE}" pid="4" name="KSOTemplateDocerSaveRecord">
    <vt:lpwstr>eyJoZGlkIjoiMWQ4Njk1MDEyOGYxYzQ3YjQ2ZDA1YzMwNDhjNzQ2NjYiLCJ1c2VySWQiOiIxMTc0MTM4MDUzIn0=</vt:lpwstr>
  </property>
</Properties>
</file>