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F7733">
      <w:pPr>
        <w:keepNext w:val="0"/>
        <w:keepLines w:val="0"/>
        <w:pageBreakBefore w:val="0"/>
        <w:widowControl w:val="0"/>
        <w:kinsoku/>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 w:val="0"/>
          <w:bCs/>
          <w:spacing w:val="8"/>
          <w:sz w:val="44"/>
          <w:szCs w:val="44"/>
        </w:rPr>
      </w:pPr>
      <w:r>
        <w:rPr>
          <w:color w:val="auto"/>
        </w:rPr>
        <w:pict>
          <v:shape id="_x0000_s1026" o:spid="_x0000_s1026" o:spt="136" type="#_x0000_t136" style="position:absolute;left:0pt;margin-left:-2.95pt;margin-top:15pt;height:86.85pt;width:448.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中共长春市双阳区平湖街道工作委员会文件" style="font-family:宋体;font-size:18pt;v-text-align:center;"/>
          </v:shape>
        </w:pict>
      </w:r>
    </w:p>
    <w:p w14:paraId="3D37AACF">
      <w:pPr>
        <w:keepNext w:val="0"/>
        <w:keepLines w:val="0"/>
        <w:pageBreakBefore w:val="0"/>
        <w:widowControl w:val="0"/>
        <w:kinsoku/>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 w:val="0"/>
          <w:bCs/>
          <w:spacing w:val="8"/>
          <w:sz w:val="44"/>
          <w:szCs w:val="44"/>
        </w:rPr>
      </w:pPr>
    </w:p>
    <w:p w14:paraId="370EF845">
      <w:pPr>
        <w:keepNext w:val="0"/>
        <w:keepLines w:val="0"/>
        <w:pageBreakBefore w:val="0"/>
        <w:widowControl w:val="0"/>
        <w:kinsoku/>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 w:val="0"/>
          <w:bCs/>
          <w:spacing w:val="8"/>
          <w:sz w:val="44"/>
          <w:szCs w:val="44"/>
        </w:rPr>
      </w:pPr>
    </w:p>
    <w:p w14:paraId="0A4CCFAA">
      <w:pPr>
        <w:keepNext w:val="0"/>
        <w:keepLines w:val="0"/>
        <w:pageBreakBefore w:val="0"/>
        <w:widowControl w:val="0"/>
        <w:kinsoku/>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 w:val="0"/>
          <w:bCs/>
          <w:spacing w:val="8"/>
          <w:sz w:val="44"/>
          <w:szCs w:val="44"/>
        </w:rPr>
      </w:pPr>
    </w:p>
    <w:p w14:paraId="2073F91D">
      <w:pPr>
        <w:keepNext w:val="0"/>
        <w:keepLines w:val="0"/>
        <w:pageBreakBefore w:val="0"/>
        <w:widowControl w:val="0"/>
        <w:kinsoku/>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 w:val="0"/>
          <w:bCs/>
          <w:spacing w:val="8"/>
          <w:sz w:val="44"/>
          <w:szCs w:val="44"/>
        </w:rPr>
      </w:pPr>
      <w:r>
        <w:rPr>
          <w:color w:val="auto"/>
        </w:rPr>
        <mc:AlternateContent>
          <mc:Choice Requires="wps">
            <w:drawing>
              <wp:anchor distT="0" distB="0" distL="114300" distR="114300" simplePos="0" relativeHeight="251661312" behindDoc="0" locked="0" layoutInCell="1" allowOverlap="1">
                <wp:simplePos x="0" y="0"/>
                <wp:positionH relativeFrom="column">
                  <wp:posOffset>2740660</wp:posOffset>
                </wp:positionH>
                <wp:positionV relativeFrom="paragraph">
                  <wp:posOffset>234950</wp:posOffset>
                </wp:positionV>
                <wp:extent cx="236855" cy="207010"/>
                <wp:effectExtent l="15875" t="13970" r="33020" b="26670"/>
                <wp:wrapNone/>
                <wp:docPr id="3" name="任意多边形 3"/>
                <wp:cNvGraphicFramePr/>
                <a:graphic xmlns:a="http://schemas.openxmlformats.org/drawingml/2006/main">
                  <a:graphicData uri="http://schemas.microsoft.com/office/word/2010/wordprocessingShape">
                    <wps:wsp>
                      <wps:cNvSpPr/>
                      <wps:spPr>
                        <a:xfrm>
                          <a:off x="0" y="0"/>
                          <a:ext cx="236855" cy="207010"/>
                        </a:xfrm>
                        <a:custGeom>
                          <a:avLst/>
                          <a:gdLst/>
                          <a:ahLst/>
                          <a:cxnLst>
                            <a:cxn ang="16187392">
                              <a:pos x="118427" y="0"/>
                            </a:cxn>
                            <a:cxn ang="10747904">
                              <a:pos x="0" y="79070"/>
                            </a:cxn>
                            <a:cxn ang="5373952">
                              <a:pos x="45235" y="207009"/>
                            </a:cxn>
                            <a:cxn ang="5373952">
                              <a:pos x="191619" y="207009"/>
                            </a:cxn>
                            <a:cxn ang="0">
                              <a:pos x="236854" y="79070"/>
                            </a:cxn>
                          </a:cxnLst>
                          <a:pathLst>
                            <a:path w="236855" h="207010">
                              <a:moveTo>
                                <a:pt x="0" y="79070"/>
                              </a:moveTo>
                              <a:lnTo>
                                <a:pt x="90471" y="79071"/>
                              </a:lnTo>
                              <a:lnTo>
                                <a:pt x="118427" y="0"/>
                              </a:lnTo>
                              <a:lnTo>
                                <a:pt x="146383" y="79071"/>
                              </a:lnTo>
                              <a:lnTo>
                                <a:pt x="236854" y="79070"/>
                              </a:lnTo>
                              <a:lnTo>
                                <a:pt x="163661" y="127938"/>
                              </a:lnTo>
                              <a:lnTo>
                                <a:pt x="191619" y="207009"/>
                              </a:lnTo>
                              <a:lnTo>
                                <a:pt x="118427" y="158140"/>
                              </a:lnTo>
                              <a:lnTo>
                                <a:pt x="45235" y="207009"/>
                              </a:lnTo>
                              <a:lnTo>
                                <a:pt x="73193" y="127938"/>
                              </a:lnTo>
                              <a:close/>
                            </a:path>
                          </a:pathLst>
                        </a:custGeom>
                        <a:solidFill>
                          <a:srgbClr val="FF0000"/>
                        </a:solidFill>
                        <a:ln w="9525" cap="flat" cmpd="sng">
                          <a:solidFill>
                            <a:srgbClr val="FF0000"/>
                          </a:solidFill>
                          <a:prstDash val="solid"/>
                          <a:miter/>
                          <a:headEnd type="none" w="med" len="med"/>
                          <a:tailEnd type="none" w="med" len="med"/>
                        </a:ln>
                        <a:effectLst/>
                      </wps:spPr>
                      <wps:bodyPr upright="1"/>
                    </wps:wsp>
                  </a:graphicData>
                </a:graphic>
              </wp:anchor>
            </w:drawing>
          </mc:Choice>
          <mc:Fallback>
            <w:pict>
              <v:shape id="_x0000_s1026" o:spid="_x0000_s1026" o:spt="100" style="position:absolute;left:0pt;margin-left:215.8pt;margin-top:18.5pt;height:16.3pt;width:18.65pt;z-index:251661312;mso-width-relative:page;mso-height-relative:page;" fillcolor="#FF0000" filled="t" stroked="t" coordsize="236855,207010" o:gfxdata="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B3ra2N1gAAAAkBAAAPAAAAAAAAAAEAIAAA&#10;ACIAAABkcnMvZG93bnJldi54bWxQSwECFAAUAAAACACHTuJAfryqGfICAABuBwAADgAAAAAAAAAB&#10;ACAAAAAlAQAAZHJzL2Uyb0RvYy54bWxQSwUGAAAAAAYABgBZAQAAiQYAAAAA&#10;" path="m0,79070l90471,79071,118427,0,146383,79071,236854,79070,163661,127938,191619,207009,118427,158140,45235,207009,73193,127938xe">
                <v:path o:connectlocs="118427,0;0,79070;45235,207009;191619,207009;236854,79070" o:connectangles="247,164,82,82,0"/>
                <v:fill on="t" focussize="0,0"/>
                <v:stroke color="#FF0000" joinstyle="miter"/>
                <v:imagedata o:title=""/>
                <o:lock v:ext="edit" aspectratio="f"/>
              </v:shape>
            </w:pict>
          </mc:Fallback>
        </mc:AlternateContent>
      </w:r>
    </w:p>
    <w:p w14:paraId="5AA08719">
      <w:pPr>
        <w:keepNext w:val="0"/>
        <w:keepLines w:val="0"/>
        <w:pageBreakBefore w:val="0"/>
        <w:widowControl w:val="0"/>
        <w:kinsoku/>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 w:val="0"/>
          <w:bCs/>
          <w:spacing w:val="8"/>
          <w:sz w:val="44"/>
          <w:szCs w:val="44"/>
        </w:rPr>
      </w:pPr>
      <w:r>
        <w:rPr>
          <w:color w:val="auto"/>
        </w:rPr>
        <mc:AlternateContent>
          <mc:Choice Requires="wps">
            <w:drawing>
              <wp:anchor distT="0" distB="0" distL="114300" distR="114300" simplePos="0" relativeHeight="251662336" behindDoc="0" locked="0" layoutInCell="1" allowOverlap="1">
                <wp:simplePos x="0" y="0"/>
                <wp:positionH relativeFrom="column">
                  <wp:posOffset>3119755</wp:posOffset>
                </wp:positionH>
                <wp:positionV relativeFrom="paragraph">
                  <wp:posOffset>31750</wp:posOffset>
                </wp:positionV>
                <wp:extent cx="25495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2549525"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5.65pt;margin-top:2.5pt;height:0.05pt;width:200.75pt;z-index:251662336;mso-width-relative:page;mso-height-relative:page;" filled="f" stroked="t" coordsize="21600,21600" o:gfxdata="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im2TPXAAAABwEAAA8AAAAAAAAAAQAgAAAAIgAAAGRycy9kb3ducmV2&#10;LnhtbFBLAQIUABQAAAAIAIdO4kD5CXGn/QEAAPUDAAAOAAAAAAAAAAEAIAAAACYBAABkcnMvZTJv&#10;RG9jLnhtbFBLBQYAAAAABgAGAFkBAACVBQAAAAA=&#10;">
                <v:fill on="f" focussize="0,0"/>
                <v:stroke weight="1.5pt" color="#FF0000" joinstyle="round"/>
                <v:imagedata o:title=""/>
                <o:lock v:ext="edit" aspectratio="f"/>
              </v:lin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3175</wp:posOffset>
                </wp:positionV>
                <wp:extent cx="254952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2549525"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5pt;margin-top:0.25pt;height:0.05pt;width:200.75pt;z-index:251660288;mso-width-relative:page;mso-height-relative:page;" filled="f" stroked="t" coordsize="21600,21600" o:gfxdata="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G+Rw3UAAAAAwEAAA8AAAAAAAAAAQAgAAAAIgAAAGRycy9kb3ducmV2Lnht&#10;bFBLAQIUABQAAAAIAIdO4kDjdWmn/QEAAPUDAAAOAAAAAAAAAAEAIAAAACMBAABkcnMvZTJvRG9j&#10;LnhtbFBLBQYAAAAABgAGAFkBAACSBQAAAAA=&#10;">
                <v:fill on="f" focussize="0,0"/>
                <v:stroke weight="1.5pt" color="#FF0000" joinstyle="round"/>
                <v:imagedata o:title=""/>
                <o:lock v:ext="edit" aspectratio="f"/>
              </v:line>
            </w:pict>
          </mc:Fallback>
        </mc:AlternateContent>
      </w:r>
    </w:p>
    <w:p w14:paraId="03F6B760">
      <w:pPr>
        <w:keepNext w:val="0"/>
        <w:keepLines w:val="0"/>
        <w:pageBreakBefore w:val="0"/>
        <w:widowControl w:val="0"/>
        <w:kinsoku/>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 w:val="0"/>
          <w:bCs/>
          <w:spacing w:val="8"/>
          <w:sz w:val="44"/>
          <w:szCs w:val="44"/>
        </w:rPr>
      </w:pPr>
      <w:r>
        <w:rPr>
          <w:rFonts w:hint="eastAsia" w:ascii="方正小标宋简体" w:hAnsi="方正小标宋简体" w:eastAsia="方正小标宋简体" w:cs="方正小标宋简体"/>
          <w:b w:val="0"/>
          <w:bCs/>
          <w:spacing w:val="8"/>
          <w:sz w:val="44"/>
          <w:szCs w:val="44"/>
        </w:rPr>
        <w:t>中共</w:t>
      </w:r>
      <w:r>
        <w:rPr>
          <w:rFonts w:hint="eastAsia" w:ascii="方正小标宋简体" w:hAnsi="方正小标宋简体" w:eastAsia="方正小标宋简体" w:cs="方正小标宋简体"/>
          <w:b w:val="0"/>
          <w:bCs/>
          <w:spacing w:val="8"/>
          <w:sz w:val="44"/>
          <w:szCs w:val="44"/>
          <w:lang w:val="en-US" w:eastAsia="zh-CN"/>
        </w:rPr>
        <w:t>长春市双阳区平湖街道工作</w:t>
      </w:r>
      <w:r>
        <w:rPr>
          <w:rFonts w:hint="eastAsia" w:ascii="方正小标宋简体" w:hAnsi="方正小标宋简体" w:eastAsia="方正小标宋简体" w:cs="方正小标宋简体"/>
          <w:b w:val="0"/>
          <w:bCs/>
          <w:spacing w:val="8"/>
          <w:sz w:val="44"/>
          <w:szCs w:val="44"/>
          <w:lang w:val="en"/>
        </w:rPr>
        <w:t>委员会</w:t>
      </w:r>
      <w:r>
        <w:rPr>
          <w:rFonts w:hint="eastAsia" w:ascii="方正小标宋简体" w:hAnsi="方正小标宋简体" w:eastAsia="方正小标宋简体" w:cs="方正小标宋简体"/>
          <w:b w:val="0"/>
          <w:bCs/>
          <w:spacing w:val="8"/>
          <w:sz w:val="44"/>
          <w:szCs w:val="44"/>
        </w:rPr>
        <w:t>关于</w:t>
      </w:r>
    </w:p>
    <w:p w14:paraId="4F652CE8">
      <w:pPr>
        <w:keepNext w:val="0"/>
        <w:keepLines w:val="0"/>
        <w:pageBreakBefore w:val="0"/>
        <w:widowControl w:val="0"/>
        <w:kinsoku/>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 w:val="0"/>
          <w:bCs/>
          <w:spacing w:val="8"/>
          <w:sz w:val="44"/>
          <w:szCs w:val="44"/>
        </w:rPr>
      </w:pPr>
      <w:r>
        <w:rPr>
          <w:rFonts w:hint="eastAsia" w:ascii="方正小标宋简体" w:hAnsi="方正小标宋简体" w:eastAsia="方正小标宋简体" w:cs="方正小标宋简体"/>
          <w:b w:val="0"/>
          <w:bCs/>
          <w:spacing w:val="8"/>
          <w:sz w:val="44"/>
          <w:szCs w:val="44"/>
        </w:rPr>
        <w:t>巡察整改进展情况的通报</w:t>
      </w:r>
    </w:p>
    <w:p w14:paraId="2EE929A7">
      <w:pPr>
        <w:keepNext w:val="0"/>
        <w:keepLines w:val="0"/>
        <w:pageBreakBefore w:val="0"/>
        <w:widowControl w:val="0"/>
        <w:kinsoku/>
        <w:overflowPunct/>
        <w:topLinePunct w:val="0"/>
        <w:autoSpaceDE/>
        <w:autoSpaceDN/>
        <w:bidi w:val="0"/>
        <w:adjustRightInd/>
        <w:snapToGrid/>
        <w:spacing w:line="550" w:lineRule="exact"/>
        <w:ind w:firstLine="675" w:firstLineChars="200"/>
        <w:jc w:val="center"/>
        <w:textAlignment w:val="auto"/>
        <w:rPr>
          <w:rFonts w:ascii="方正楷体_GBK" w:hAnsi="宋体" w:eastAsia="方正楷体_GBK"/>
          <w:b/>
          <w:spacing w:val="8"/>
          <w:sz w:val="32"/>
          <w:szCs w:val="32"/>
        </w:rPr>
      </w:pPr>
    </w:p>
    <w:p w14:paraId="3F7085F3">
      <w:pPr>
        <w:keepNext w:val="0"/>
        <w:keepLines w:val="0"/>
        <w:pageBreakBefore w:val="0"/>
        <w:widowControl w:val="0"/>
        <w:kinsoku/>
        <w:overflowPunct/>
        <w:topLinePunct w:val="0"/>
        <w:autoSpaceDE/>
        <w:autoSpaceDN/>
        <w:bidi w:val="0"/>
        <w:adjustRightInd/>
        <w:snapToGrid/>
        <w:spacing w:line="550" w:lineRule="exact"/>
        <w:ind w:firstLine="672" w:firstLineChars="200"/>
        <w:textAlignment w:val="auto"/>
        <w:rPr>
          <w:rFonts w:hint="eastAsia" w:ascii="仿宋_GB2312" w:hAnsi="仿宋_GB2312" w:eastAsia="仿宋_GB2312" w:cs="仿宋_GB2312"/>
          <w:b w:val="0"/>
          <w:bCs/>
          <w:spacing w:val="8"/>
          <w:sz w:val="32"/>
          <w:szCs w:val="32"/>
        </w:rPr>
      </w:pPr>
      <w:r>
        <w:rPr>
          <w:rFonts w:hint="eastAsia" w:ascii="仿宋_GB2312" w:hAnsi="仿宋_GB2312" w:eastAsia="仿宋_GB2312" w:cs="仿宋_GB2312"/>
          <w:b w:val="0"/>
          <w:bCs/>
          <w:spacing w:val="8"/>
          <w:sz w:val="32"/>
          <w:szCs w:val="32"/>
        </w:rPr>
        <w:t>根据</w:t>
      </w:r>
      <w:r>
        <w:rPr>
          <w:rFonts w:hint="eastAsia" w:ascii="仿宋_GB2312" w:hAnsi="仿宋_GB2312" w:eastAsia="仿宋_GB2312" w:cs="仿宋_GB2312"/>
          <w:b w:val="0"/>
          <w:bCs/>
          <w:spacing w:val="8"/>
          <w:sz w:val="32"/>
          <w:szCs w:val="32"/>
          <w:lang w:eastAsia="zh-CN"/>
        </w:rPr>
        <w:t>区委</w:t>
      </w:r>
      <w:r>
        <w:rPr>
          <w:rFonts w:hint="eastAsia" w:ascii="仿宋_GB2312" w:hAnsi="仿宋_GB2312" w:eastAsia="仿宋_GB2312" w:cs="仿宋_GB2312"/>
          <w:b w:val="0"/>
          <w:bCs/>
          <w:spacing w:val="8"/>
          <w:sz w:val="32"/>
          <w:szCs w:val="32"/>
          <w:lang w:val="en"/>
        </w:rPr>
        <w:t>统一部署，</w:t>
      </w:r>
      <w:r>
        <w:rPr>
          <w:rFonts w:hint="eastAsia" w:ascii="仿宋_GB2312" w:hAnsi="仿宋_GB2312" w:eastAsia="仿宋_GB2312" w:cs="仿宋_GB2312"/>
          <w:b w:val="0"/>
          <w:bCs/>
          <w:spacing w:val="8"/>
          <w:sz w:val="32"/>
          <w:szCs w:val="32"/>
          <w:lang w:val="en-US" w:eastAsia="zh-CN"/>
        </w:rPr>
        <w:t>2024</w:t>
      </w:r>
      <w:r>
        <w:rPr>
          <w:rFonts w:hint="eastAsia" w:ascii="仿宋_GB2312" w:hAnsi="仿宋_GB2312" w:eastAsia="仿宋_GB2312" w:cs="仿宋_GB2312"/>
          <w:b w:val="0"/>
          <w:bCs/>
          <w:spacing w:val="8"/>
          <w:sz w:val="32"/>
          <w:szCs w:val="32"/>
          <w:lang w:val="en"/>
        </w:rPr>
        <w:t>年</w:t>
      </w:r>
      <w:r>
        <w:rPr>
          <w:rFonts w:hint="eastAsia" w:ascii="仿宋_GB2312" w:hAnsi="仿宋_GB2312" w:eastAsia="仿宋_GB2312" w:cs="仿宋_GB2312"/>
          <w:b w:val="0"/>
          <w:bCs/>
          <w:spacing w:val="8"/>
          <w:sz w:val="32"/>
          <w:szCs w:val="32"/>
          <w:lang w:val="en-US" w:eastAsia="zh-CN"/>
        </w:rPr>
        <w:t>4</w:t>
      </w:r>
      <w:r>
        <w:rPr>
          <w:rFonts w:hint="eastAsia" w:ascii="仿宋_GB2312" w:hAnsi="仿宋_GB2312" w:eastAsia="仿宋_GB2312" w:cs="仿宋_GB2312"/>
          <w:b w:val="0"/>
          <w:bCs/>
          <w:spacing w:val="8"/>
          <w:sz w:val="32"/>
          <w:szCs w:val="32"/>
          <w:lang w:val="en"/>
        </w:rPr>
        <w:t>月</w:t>
      </w:r>
      <w:r>
        <w:rPr>
          <w:rFonts w:hint="eastAsia" w:ascii="仿宋_GB2312" w:hAnsi="仿宋_GB2312" w:eastAsia="仿宋_GB2312" w:cs="仿宋_GB2312"/>
          <w:b w:val="0"/>
          <w:bCs/>
          <w:spacing w:val="8"/>
          <w:sz w:val="32"/>
          <w:szCs w:val="32"/>
          <w:lang w:val="en-US" w:eastAsia="zh-CN"/>
        </w:rPr>
        <w:t>15</w:t>
      </w:r>
      <w:r>
        <w:rPr>
          <w:rFonts w:hint="eastAsia" w:ascii="仿宋_GB2312" w:hAnsi="仿宋_GB2312" w:eastAsia="仿宋_GB2312" w:cs="仿宋_GB2312"/>
          <w:b w:val="0"/>
          <w:bCs/>
          <w:spacing w:val="8"/>
          <w:sz w:val="32"/>
          <w:szCs w:val="32"/>
          <w:lang w:val="en"/>
        </w:rPr>
        <w:t>日至</w:t>
      </w:r>
      <w:r>
        <w:rPr>
          <w:rFonts w:hint="eastAsia" w:ascii="仿宋_GB2312" w:hAnsi="仿宋_GB2312" w:eastAsia="仿宋_GB2312" w:cs="仿宋_GB2312"/>
          <w:b w:val="0"/>
          <w:bCs/>
          <w:spacing w:val="8"/>
          <w:sz w:val="32"/>
          <w:szCs w:val="32"/>
          <w:lang w:val="en-US" w:eastAsia="zh-CN"/>
        </w:rPr>
        <w:t>6</w:t>
      </w:r>
      <w:r>
        <w:rPr>
          <w:rFonts w:hint="eastAsia" w:ascii="仿宋_GB2312" w:hAnsi="仿宋_GB2312" w:eastAsia="仿宋_GB2312" w:cs="仿宋_GB2312"/>
          <w:b w:val="0"/>
          <w:bCs/>
          <w:spacing w:val="8"/>
          <w:sz w:val="32"/>
          <w:szCs w:val="32"/>
          <w:lang w:val="en"/>
        </w:rPr>
        <w:t>月</w:t>
      </w:r>
      <w:r>
        <w:rPr>
          <w:rFonts w:hint="eastAsia" w:ascii="仿宋_GB2312" w:hAnsi="仿宋_GB2312" w:eastAsia="仿宋_GB2312" w:cs="仿宋_GB2312"/>
          <w:b w:val="0"/>
          <w:bCs/>
          <w:spacing w:val="8"/>
          <w:sz w:val="32"/>
          <w:szCs w:val="32"/>
          <w:lang w:val="en-US" w:eastAsia="zh-CN"/>
        </w:rPr>
        <w:t>30</w:t>
      </w:r>
      <w:r>
        <w:rPr>
          <w:rFonts w:hint="eastAsia" w:ascii="仿宋_GB2312" w:hAnsi="仿宋_GB2312" w:eastAsia="仿宋_GB2312" w:cs="仿宋_GB2312"/>
          <w:b w:val="0"/>
          <w:bCs/>
          <w:spacing w:val="8"/>
          <w:sz w:val="32"/>
          <w:szCs w:val="32"/>
          <w:lang w:val="en"/>
        </w:rPr>
        <w:t>日，</w:t>
      </w:r>
      <w:r>
        <w:rPr>
          <w:rFonts w:hint="eastAsia" w:ascii="仿宋_GB2312" w:hAnsi="仿宋_GB2312" w:eastAsia="仿宋_GB2312" w:cs="仿宋_GB2312"/>
          <w:b w:val="0"/>
          <w:bCs/>
          <w:spacing w:val="8"/>
          <w:sz w:val="32"/>
          <w:szCs w:val="32"/>
          <w:lang w:val="en" w:eastAsia="zh-CN"/>
        </w:rPr>
        <w:t>区委</w:t>
      </w:r>
      <w:r>
        <w:rPr>
          <w:rFonts w:hint="eastAsia" w:ascii="仿宋_GB2312" w:hAnsi="仿宋_GB2312" w:eastAsia="仿宋_GB2312" w:cs="仿宋_GB2312"/>
          <w:b w:val="0"/>
          <w:bCs/>
          <w:spacing w:val="8"/>
          <w:sz w:val="32"/>
          <w:szCs w:val="32"/>
          <w:lang w:val="en"/>
        </w:rPr>
        <w:t>第</w:t>
      </w:r>
      <w:r>
        <w:rPr>
          <w:rFonts w:hint="eastAsia" w:ascii="仿宋_GB2312" w:hAnsi="仿宋_GB2312" w:eastAsia="仿宋_GB2312" w:cs="仿宋_GB2312"/>
          <w:b w:val="0"/>
          <w:bCs/>
          <w:spacing w:val="8"/>
          <w:sz w:val="32"/>
          <w:szCs w:val="32"/>
          <w:lang w:val="en-US" w:eastAsia="zh-CN"/>
        </w:rPr>
        <w:t>二</w:t>
      </w:r>
      <w:r>
        <w:rPr>
          <w:rFonts w:hint="eastAsia" w:ascii="仿宋_GB2312" w:hAnsi="仿宋_GB2312" w:eastAsia="仿宋_GB2312" w:cs="仿宋_GB2312"/>
          <w:b w:val="0"/>
          <w:bCs/>
          <w:spacing w:val="8"/>
          <w:sz w:val="32"/>
          <w:szCs w:val="32"/>
          <w:lang w:val="en"/>
        </w:rPr>
        <w:t>巡察组对中共</w:t>
      </w:r>
      <w:r>
        <w:rPr>
          <w:rFonts w:hint="eastAsia" w:ascii="仿宋_GB2312" w:hAnsi="仿宋_GB2312" w:eastAsia="仿宋_GB2312" w:cs="仿宋_GB2312"/>
          <w:b w:val="0"/>
          <w:bCs/>
          <w:spacing w:val="8"/>
          <w:sz w:val="32"/>
          <w:szCs w:val="32"/>
          <w:lang w:val="en-US" w:eastAsia="zh-CN"/>
        </w:rPr>
        <w:t>长春市双阳区平湖街道工作</w:t>
      </w:r>
      <w:r>
        <w:rPr>
          <w:rFonts w:hint="eastAsia" w:ascii="仿宋_GB2312" w:hAnsi="仿宋_GB2312" w:eastAsia="仿宋_GB2312" w:cs="仿宋_GB2312"/>
          <w:b w:val="0"/>
          <w:bCs/>
          <w:spacing w:val="8"/>
          <w:sz w:val="32"/>
          <w:szCs w:val="32"/>
          <w:lang w:val="en"/>
        </w:rPr>
        <w:t>委员会（以下简称</w:t>
      </w:r>
      <w:r>
        <w:rPr>
          <w:rFonts w:hint="eastAsia" w:ascii="仿宋_GB2312" w:hAnsi="仿宋_GB2312" w:eastAsia="仿宋_GB2312" w:cs="仿宋_GB2312"/>
          <w:b w:val="0"/>
          <w:bCs/>
          <w:spacing w:val="8"/>
          <w:sz w:val="32"/>
          <w:szCs w:val="32"/>
          <w:lang w:val="en-US" w:eastAsia="zh-CN"/>
        </w:rPr>
        <w:t>平湖街道党工委</w:t>
      </w:r>
      <w:r>
        <w:rPr>
          <w:rFonts w:hint="eastAsia" w:ascii="仿宋_GB2312" w:hAnsi="仿宋_GB2312" w:eastAsia="仿宋_GB2312" w:cs="仿宋_GB2312"/>
          <w:b w:val="0"/>
          <w:bCs/>
          <w:spacing w:val="8"/>
          <w:sz w:val="32"/>
          <w:szCs w:val="32"/>
          <w:lang w:val="en"/>
        </w:rPr>
        <w:t>）进行了常规巡察。</w:t>
      </w:r>
      <w:r>
        <w:rPr>
          <w:rFonts w:hint="eastAsia" w:ascii="仿宋_GB2312" w:hAnsi="仿宋_GB2312" w:eastAsia="仿宋_GB2312" w:cs="仿宋_GB2312"/>
          <w:b w:val="0"/>
          <w:bCs/>
          <w:spacing w:val="8"/>
          <w:sz w:val="32"/>
          <w:szCs w:val="32"/>
          <w:lang w:val="en-US" w:eastAsia="zh-CN"/>
        </w:rPr>
        <w:t>8</w:t>
      </w:r>
      <w:r>
        <w:rPr>
          <w:rFonts w:hint="eastAsia" w:ascii="仿宋_GB2312" w:hAnsi="仿宋_GB2312" w:eastAsia="仿宋_GB2312" w:cs="仿宋_GB2312"/>
          <w:b w:val="0"/>
          <w:bCs/>
          <w:spacing w:val="8"/>
          <w:sz w:val="32"/>
          <w:szCs w:val="32"/>
          <w:lang w:val="en"/>
        </w:rPr>
        <w:t>月</w:t>
      </w:r>
      <w:r>
        <w:rPr>
          <w:rFonts w:hint="eastAsia" w:ascii="仿宋_GB2312" w:hAnsi="仿宋_GB2312" w:eastAsia="仿宋_GB2312" w:cs="仿宋_GB2312"/>
          <w:b w:val="0"/>
          <w:bCs/>
          <w:spacing w:val="8"/>
          <w:sz w:val="32"/>
          <w:szCs w:val="32"/>
          <w:lang w:val="en-US" w:eastAsia="zh-CN"/>
        </w:rPr>
        <w:t>12</w:t>
      </w:r>
      <w:r>
        <w:rPr>
          <w:rFonts w:hint="eastAsia" w:ascii="仿宋_GB2312" w:hAnsi="仿宋_GB2312" w:eastAsia="仿宋_GB2312" w:cs="仿宋_GB2312"/>
          <w:b w:val="0"/>
          <w:bCs/>
          <w:spacing w:val="8"/>
          <w:sz w:val="32"/>
          <w:szCs w:val="32"/>
          <w:lang w:val="en"/>
        </w:rPr>
        <w:t>日，</w:t>
      </w:r>
      <w:r>
        <w:rPr>
          <w:rFonts w:hint="eastAsia" w:ascii="仿宋_GB2312" w:hAnsi="仿宋_GB2312" w:eastAsia="仿宋_GB2312" w:cs="仿宋_GB2312"/>
          <w:b w:val="0"/>
          <w:bCs/>
          <w:spacing w:val="8"/>
          <w:sz w:val="32"/>
          <w:szCs w:val="32"/>
          <w:lang w:val="en" w:eastAsia="zh-CN"/>
        </w:rPr>
        <w:t>区委</w:t>
      </w:r>
      <w:r>
        <w:rPr>
          <w:rFonts w:hint="eastAsia" w:ascii="仿宋_GB2312" w:hAnsi="仿宋_GB2312" w:eastAsia="仿宋_GB2312" w:cs="仿宋_GB2312"/>
          <w:b w:val="0"/>
          <w:bCs/>
          <w:spacing w:val="8"/>
          <w:sz w:val="32"/>
          <w:szCs w:val="32"/>
          <w:lang w:val="en"/>
        </w:rPr>
        <w:t>第</w:t>
      </w:r>
      <w:r>
        <w:rPr>
          <w:rFonts w:hint="eastAsia" w:ascii="仿宋_GB2312" w:hAnsi="仿宋_GB2312" w:eastAsia="仿宋_GB2312" w:cs="仿宋_GB2312"/>
          <w:b w:val="0"/>
          <w:bCs/>
          <w:spacing w:val="8"/>
          <w:sz w:val="32"/>
          <w:szCs w:val="32"/>
          <w:lang w:val="en-US" w:eastAsia="zh-CN"/>
        </w:rPr>
        <w:t>二</w:t>
      </w:r>
      <w:r>
        <w:rPr>
          <w:rFonts w:hint="eastAsia" w:ascii="仿宋_GB2312" w:hAnsi="仿宋_GB2312" w:eastAsia="仿宋_GB2312" w:cs="仿宋_GB2312"/>
          <w:b w:val="0"/>
          <w:bCs/>
          <w:spacing w:val="8"/>
          <w:sz w:val="32"/>
          <w:szCs w:val="32"/>
          <w:lang w:val="en"/>
        </w:rPr>
        <w:t>巡察组向</w:t>
      </w:r>
      <w:r>
        <w:rPr>
          <w:rFonts w:hint="eastAsia" w:ascii="仿宋_GB2312" w:hAnsi="仿宋_GB2312" w:eastAsia="仿宋_GB2312" w:cs="仿宋_GB2312"/>
          <w:b w:val="0"/>
          <w:bCs/>
          <w:spacing w:val="8"/>
          <w:sz w:val="32"/>
          <w:szCs w:val="32"/>
          <w:lang w:val="en-US" w:eastAsia="zh-CN"/>
        </w:rPr>
        <w:t>平湖街道党工委</w:t>
      </w:r>
      <w:r>
        <w:rPr>
          <w:rFonts w:hint="eastAsia" w:ascii="仿宋_GB2312" w:hAnsi="仿宋_GB2312" w:eastAsia="仿宋_GB2312" w:cs="仿宋_GB2312"/>
          <w:b w:val="0"/>
          <w:bCs/>
          <w:spacing w:val="8"/>
          <w:sz w:val="32"/>
          <w:szCs w:val="32"/>
          <w:lang w:val="en"/>
        </w:rPr>
        <w:t>反馈了巡察意见。按照巡察工作有关要求，现将</w:t>
      </w:r>
      <w:r>
        <w:rPr>
          <w:rFonts w:hint="eastAsia" w:ascii="仿宋_GB2312" w:hAnsi="仿宋_GB2312" w:eastAsia="仿宋_GB2312" w:cs="仿宋_GB2312"/>
          <w:b w:val="0"/>
          <w:bCs/>
          <w:spacing w:val="8"/>
          <w:sz w:val="32"/>
          <w:szCs w:val="32"/>
        </w:rPr>
        <w:t>巡察整改进展情况予以公布。</w:t>
      </w:r>
    </w:p>
    <w:p w14:paraId="0B789D2D">
      <w:pPr>
        <w:keepNext w:val="0"/>
        <w:keepLines w:val="0"/>
        <w:pageBreakBefore w:val="0"/>
        <w:widowControl w:val="0"/>
        <w:kinsoku/>
        <w:overflowPunct/>
        <w:topLinePunct w:val="0"/>
        <w:autoSpaceDE/>
        <w:autoSpaceDN/>
        <w:bidi w:val="0"/>
        <w:adjustRightInd/>
        <w:snapToGrid/>
        <w:spacing w:line="550" w:lineRule="exact"/>
        <w:ind w:firstLine="672" w:firstLineChars="200"/>
        <w:textAlignment w:val="auto"/>
        <w:rPr>
          <w:rFonts w:hint="eastAsia" w:ascii="黑体" w:hAnsi="黑体" w:eastAsia="黑体" w:cs="黑体"/>
          <w:b w:val="0"/>
          <w:bCs/>
          <w:spacing w:val="8"/>
          <w:sz w:val="32"/>
          <w:szCs w:val="32"/>
          <w:lang w:val="en"/>
        </w:rPr>
      </w:pPr>
      <w:r>
        <w:rPr>
          <w:rFonts w:hint="eastAsia" w:ascii="黑体" w:hAnsi="黑体" w:eastAsia="黑体" w:cs="黑体"/>
          <w:b w:val="0"/>
          <w:bCs/>
          <w:spacing w:val="8"/>
          <w:sz w:val="32"/>
          <w:szCs w:val="32"/>
        </w:rPr>
        <w:t>一、整改工作总体情况</w:t>
      </w:r>
    </w:p>
    <w:p w14:paraId="15D59387">
      <w:pPr>
        <w:keepNext w:val="0"/>
        <w:keepLines w:val="0"/>
        <w:pageBreakBefore w:val="0"/>
        <w:widowControl w:val="0"/>
        <w:kinsoku/>
        <w:overflowPunct/>
        <w:topLinePunct w:val="0"/>
        <w:autoSpaceDE/>
        <w:autoSpaceDN/>
        <w:bidi w:val="0"/>
        <w:adjustRightInd/>
        <w:snapToGrid/>
        <w:spacing w:line="550" w:lineRule="exact"/>
        <w:ind w:firstLine="672" w:firstLineChars="200"/>
        <w:textAlignment w:val="auto"/>
        <w:rPr>
          <w:rFonts w:hint="eastAsia" w:ascii="仿宋_GB2312" w:hAnsi="仿宋_GB2312" w:eastAsia="仿宋_GB2312" w:cs="仿宋_GB2312"/>
          <w:b w:val="0"/>
          <w:bCs/>
          <w:spacing w:val="8"/>
          <w:sz w:val="32"/>
          <w:szCs w:val="32"/>
        </w:rPr>
      </w:pPr>
      <w:r>
        <w:rPr>
          <w:rFonts w:hint="eastAsia" w:ascii="楷体_GB2312" w:hAnsi="楷体_GB2312" w:eastAsia="楷体_GB2312" w:cs="楷体_GB2312"/>
          <w:b w:val="0"/>
          <w:bCs/>
          <w:spacing w:val="8"/>
          <w:sz w:val="32"/>
          <w:szCs w:val="32"/>
        </w:rPr>
        <w:t>（一）提高政治站位，坚决把思想和行动统一到上级指示精神上来。</w:t>
      </w:r>
      <w:r>
        <w:rPr>
          <w:rFonts w:hint="eastAsia" w:ascii="仿宋_GB2312" w:hAnsi="仿宋_GB2312" w:eastAsia="仿宋_GB2312" w:cs="仿宋_GB2312"/>
          <w:b w:val="0"/>
          <w:bCs/>
          <w:spacing w:val="8"/>
          <w:sz w:val="32"/>
          <w:szCs w:val="32"/>
        </w:rPr>
        <w:t>接到区委第二巡察组反馈意见后，街道党工委高度重视，召开专题会议传达学习区委巡察反馈意见精神，对巡察提出的主要问题进行了认真研究和深刻剖析，第一时间成立巡察整改工作领导小组，研究部署整改工作，明确要求整改责任</w:t>
      </w:r>
      <w:r>
        <w:rPr>
          <w:rFonts w:hint="eastAsia" w:ascii="仿宋_GB2312" w:hAnsi="仿宋_GB2312" w:eastAsia="仿宋_GB2312" w:cs="仿宋_GB2312"/>
          <w:b w:val="0"/>
          <w:bCs/>
          <w:spacing w:val="8"/>
          <w:sz w:val="32"/>
          <w:szCs w:val="32"/>
          <w:lang w:val="en-US" w:eastAsia="zh-CN"/>
        </w:rPr>
        <w:t>科室（村）</w:t>
      </w:r>
      <w:r>
        <w:rPr>
          <w:rFonts w:hint="eastAsia" w:ascii="仿宋_GB2312" w:hAnsi="仿宋_GB2312" w:eastAsia="仿宋_GB2312" w:cs="仿宋_GB2312"/>
          <w:b w:val="0"/>
          <w:bCs/>
          <w:spacing w:val="8"/>
          <w:sz w:val="32"/>
          <w:szCs w:val="32"/>
        </w:rPr>
        <w:t>把整改工作作为重要政治任务，自觉增强对巡察反馈问题整改的思想自觉、行动自觉，切实把思想行动统一到反馈意见的精神和要求上来，不折不扣地落实好巡察组意见建议，不断推动整改工作落实落细、高质高效。</w:t>
      </w:r>
    </w:p>
    <w:p w14:paraId="67BADF0B">
      <w:pPr>
        <w:keepNext w:val="0"/>
        <w:keepLines w:val="0"/>
        <w:pageBreakBefore w:val="0"/>
        <w:widowControl w:val="0"/>
        <w:kinsoku/>
        <w:overflowPunct/>
        <w:topLinePunct w:val="0"/>
        <w:autoSpaceDE/>
        <w:autoSpaceDN/>
        <w:bidi w:val="0"/>
        <w:adjustRightInd/>
        <w:snapToGrid/>
        <w:spacing w:line="550" w:lineRule="exact"/>
        <w:ind w:firstLine="672" w:firstLineChars="200"/>
        <w:textAlignment w:val="auto"/>
        <w:rPr>
          <w:rFonts w:hint="eastAsia" w:ascii="仿宋_GB2312" w:hAnsi="仿宋_GB2312" w:eastAsia="仿宋_GB2312" w:cs="仿宋_GB2312"/>
          <w:b w:val="0"/>
          <w:bCs/>
          <w:spacing w:val="8"/>
          <w:sz w:val="32"/>
          <w:szCs w:val="32"/>
        </w:rPr>
      </w:pPr>
      <w:r>
        <w:rPr>
          <w:rFonts w:hint="eastAsia" w:ascii="楷体_GB2312" w:hAnsi="楷体_GB2312" w:eastAsia="楷体_GB2312" w:cs="楷体_GB2312"/>
          <w:b w:val="0"/>
          <w:bCs/>
          <w:spacing w:val="8"/>
          <w:sz w:val="32"/>
          <w:szCs w:val="32"/>
        </w:rPr>
        <w:t>（二）突出问题导向，坚决不打折扣全面彻底整改反馈问题。</w:t>
      </w:r>
      <w:r>
        <w:rPr>
          <w:rFonts w:hint="eastAsia" w:ascii="仿宋_GB2312" w:hAnsi="仿宋_GB2312" w:eastAsia="仿宋_GB2312" w:cs="仿宋_GB2312"/>
          <w:b w:val="0"/>
          <w:bCs/>
          <w:spacing w:val="8"/>
          <w:sz w:val="32"/>
          <w:szCs w:val="32"/>
        </w:rPr>
        <w:t>根据区委巡察组反馈意见，形成了《平湖街道关于区委第二巡察组反馈意见的整改落实方案》，明确责任领导、责任</w:t>
      </w:r>
      <w:r>
        <w:rPr>
          <w:rFonts w:hint="eastAsia" w:ascii="仿宋_GB2312" w:hAnsi="仿宋_GB2312" w:eastAsia="仿宋_GB2312" w:cs="仿宋_GB2312"/>
          <w:b w:val="0"/>
          <w:bCs/>
          <w:spacing w:val="8"/>
          <w:sz w:val="32"/>
          <w:szCs w:val="32"/>
          <w:lang w:val="en-US" w:eastAsia="zh-CN"/>
        </w:rPr>
        <w:t>科室（村）</w:t>
      </w:r>
      <w:r>
        <w:rPr>
          <w:rFonts w:hint="eastAsia" w:ascii="仿宋_GB2312" w:hAnsi="仿宋_GB2312" w:eastAsia="仿宋_GB2312" w:cs="仿宋_GB2312"/>
          <w:b w:val="0"/>
          <w:bCs/>
          <w:spacing w:val="8"/>
          <w:sz w:val="32"/>
          <w:szCs w:val="32"/>
        </w:rPr>
        <w:t>、责任人员、整改措施和完成时限，确保反馈意见“件件有着落、事事有回音”。各整改责任科室按照《整改落实方案》，坚决担起整改工作政治责任，做到真认账、真反思、真整改、真负责，以求真务实、真抓真改的作风，全力抓好各项具体整改措施落实。</w:t>
      </w:r>
    </w:p>
    <w:p w14:paraId="5266F0B7">
      <w:pPr>
        <w:keepNext w:val="0"/>
        <w:keepLines w:val="0"/>
        <w:pageBreakBefore w:val="0"/>
        <w:widowControl w:val="0"/>
        <w:kinsoku/>
        <w:overflowPunct/>
        <w:topLinePunct w:val="0"/>
        <w:autoSpaceDE/>
        <w:autoSpaceDN/>
        <w:bidi w:val="0"/>
        <w:adjustRightInd/>
        <w:snapToGrid/>
        <w:spacing w:line="550" w:lineRule="exact"/>
        <w:ind w:firstLine="672" w:firstLineChars="200"/>
        <w:textAlignment w:val="auto"/>
        <w:rPr>
          <w:rFonts w:hint="eastAsia" w:ascii="仿宋_GB2312" w:hAnsi="仿宋_GB2312" w:eastAsia="仿宋_GB2312" w:cs="仿宋_GB2312"/>
          <w:b w:val="0"/>
          <w:bCs/>
          <w:spacing w:val="8"/>
          <w:sz w:val="32"/>
          <w:szCs w:val="32"/>
        </w:rPr>
      </w:pPr>
      <w:r>
        <w:rPr>
          <w:rFonts w:hint="eastAsia" w:ascii="楷体_GB2312" w:hAnsi="楷体_GB2312" w:eastAsia="楷体_GB2312" w:cs="楷体_GB2312"/>
          <w:b w:val="0"/>
          <w:bCs/>
          <w:spacing w:val="8"/>
          <w:sz w:val="32"/>
          <w:szCs w:val="32"/>
        </w:rPr>
        <w:t>（三）压紧压实责任，坚决履职尽责推进整改工作落实落地。</w:t>
      </w:r>
      <w:r>
        <w:rPr>
          <w:rFonts w:hint="eastAsia" w:ascii="仿宋_GB2312" w:hAnsi="仿宋_GB2312" w:eastAsia="仿宋_GB2312" w:cs="仿宋_GB2312"/>
          <w:b w:val="0"/>
          <w:bCs/>
          <w:spacing w:val="8"/>
          <w:sz w:val="32"/>
          <w:szCs w:val="32"/>
        </w:rPr>
        <w:t>党工委书记作为巡察整改工作第一责任人，对整改工作亲自部署、亲自过问、亲自督办；班子成员作为责任领导，牵头推进分管领域整改任务落实。选派专人成立基层治理专项巡察整改督导组，集中督促指导各责任科室做好整改工作，强化压力传导，压紧压实工作责任，坚持举一反三，健全长效机制，做到一抓到底、抓出实效。</w:t>
      </w:r>
    </w:p>
    <w:p w14:paraId="73B5C431">
      <w:pPr>
        <w:keepNext w:val="0"/>
        <w:keepLines w:val="0"/>
        <w:pageBreakBefore w:val="0"/>
        <w:widowControl w:val="0"/>
        <w:kinsoku/>
        <w:overflowPunct/>
        <w:topLinePunct w:val="0"/>
        <w:autoSpaceDE/>
        <w:autoSpaceDN/>
        <w:bidi w:val="0"/>
        <w:adjustRightInd/>
        <w:snapToGrid/>
        <w:spacing w:line="550" w:lineRule="exact"/>
        <w:ind w:firstLine="672" w:firstLineChars="200"/>
        <w:textAlignment w:val="auto"/>
        <w:rPr>
          <w:rFonts w:hint="eastAsia" w:ascii="黑体" w:hAnsi="黑体" w:eastAsia="黑体" w:cs="黑体"/>
          <w:b w:val="0"/>
          <w:bCs/>
          <w:spacing w:val="8"/>
          <w:sz w:val="32"/>
          <w:szCs w:val="32"/>
          <w:lang w:val="en"/>
        </w:rPr>
      </w:pPr>
      <w:r>
        <w:rPr>
          <w:rFonts w:hint="eastAsia" w:ascii="黑体" w:hAnsi="黑体" w:eastAsia="黑体" w:cs="黑体"/>
          <w:b w:val="0"/>
          <w:bCs/>
          <w:spacing w:val="8"/>
          <w:sz w:val="32"/>
          <w:szCs w:val="32"/>
        </w:rPr>
        <w:t>二、</w:t>
      </w:r>
      <w:r>
        <w:rPr>
          <w:rFonts w:hint="eastAsia" w:ascii="黑体" w:hAnsi="黑体" w:eastAsia="黑体" w:cs="黑体"/>
          <w:b w:val="0"/>
          <w:bCs/>
          <w:spacing w:val="8"/>
          <w:sz w:val="32"/>
          <w:szCs w:val="32"/>
          <w:lang w:val="en"/>
        </w:rPr>
        <w:t>巡察</w:t>
      </w:r>
      <w:r>
        <w:rPr>
          <w:rFonts w:hint="eastAsia" w:ascii="黑体" w:hAnsi="黑体" w:eastAsia="黑体" w:cs="黑体"/>
          <w:b w:val="0"/>
          <w:bCs/>
          <w:spacing w:val="8"/>
          <w:sz w:val="32"/>
          <w:szCs w:val="32"/>
        </w:rPr>
        <w:t>发现问题整改情况</w:t>
      </w:r>
    </w:p>
    <w:p w14:paraId="1754D8DD">
      <w:pPr>
        <w:keepNext w:val="0"/>
        <w:keepLines w:val="0"/>
        <w:pageBreakBefore w:val="0"/>
        <w:widowControl w:val="0"/>
        <w:kinsoku/>
        <w:overflowPunct/>
        <w:topLinePunct w:val="0"/>
        <w:autoSpaceDE/>
        <w:autoSpaceDN/>
        <w:bidi w:val="0"/>
        <w:adjustRightInd/>
        <w:snapToGrid/>
        <w:spacing w:line="550" w:lineRule="exact"/>
        <w:ind w:firstLine="672" w:firstLineChars="200"/>
        <w:textAlignment w:val="auto"/>
        <w:rPr>
          <w:rFonts w:hint="eastAsia" w:ascii="楷体_GB2312" w:hAnsi="楷体_GB2312" w:eastAsia="楷体_GB2312" w:cs="楷体_GB2312"/>
          <w:b w:val="0"/>
          <w:bCs/>
          <w:spacing w:val="8"/>
          <w:sz w:val="32"/>
          <w:szCs w:val="32"/>
          <w:highlight w:val="none"/>
        </w:rPr>
      </w:pPr>
      <w:r>
        <w:rPr>
          <w:rFonts w:hint="eastAsia" w:ascii="楷体_GB2312" w:hAnsi="楷体_GB2312" w:eastAsia="楷体_GB2312" w:cs="楷体_GB2312"/>
          <w:b w:val="0"/>
          <w:bCs/>
          <w:spacing w:val="8"/>
          <w:sz w:val="32"/>
          <w:szCs w:val="32"/>
          <w:lang w:eastAsia="zh-CN"/>
        </w:rPr>
        <w:t>（</w:t>
      </w:r>
      <w:r>
        <w:rPr>
          <w:rFonts w:hint="eastAsia" w:ascii="楷体_GB2312" w:hAnsi="楷体_GB2312" w:eastAsia="楷体_GB2312" w:cs="楷体_GB2312"/>
          <w:b w:val="0"/>
          <w:bCs/>
          <w:spacing w:val="8"/>
          <w:sz w:val="32"/>
          <w:szCs w:val="32"/>
          <w:lang w:val="en-US" w:eastAsia="zh-CN"/>
        </w:rPr>
        <w:t>一</w:t>
      </w:r>
      <w:r>
        <w:rPr>
          <w:rFonts w:hint="eastAsia" w:ascii="楷体_GB2312" w:hAnsi="楷体_GB2312" w:eastAsia="楷体_GB2312" w:cs="楷体_GB2312"/>
          <w:b w:val="0"/>
          <w:bCs/>
          <w:spacing w:val="8"/>
          <w:sz w:val="32"/>
          <w:szCs w:val="32"/>
          <w:lang w:eastAsia="zh-CN"/>
        </w:rPr>
        <w:t>）</w:t>
      </w:r>
      <w:r>
        <w:rPr>
          <w:rFonts w:hint="eastAsia" w:ascii="楷体_GB2312" w:hAnsi="楷体_GB2312" w:eastAsia="楷体_GB2312" w:cs="楷体_GB2312"/>
          <w:b w:val="0"/>
          <w:bCs/>
          <w:spacing w:val="8"/>
          <w:sz w:val="32"/>
          <w:szCs w:val="32"/>
        </w:rPr>
        <w:t>关于聚焦党中央各项决策部署在基层贯彻落实情</w:t>
      </w:r>
      <w:r>
        <w:rPr>
          <w:rFonts w:hint="eastAsia" w:ascii="楷体_GB2312" w:hAnsi="楷体_GB2312" w:eastAsia="楷体_GB2312" w:cs="楷体_GB2312"/>
          <w:b w:val="0"/>
          <w:bCs/>
          <w:spacing w:val="8"/>
          <w:sz w:val="32"/>
          <w:szCs w:val="32"/>
          <w:highlight w:val="none"/>
        </w:rPr>
        <w:t>况方面</w:t>
      </w:r>
    </w:p>
    <w:p w14:paraId="1D00F759">
      <w:pPr>
        <w:keepNext w:val="0"/>
        <w:keepLines w:val="0"/>
        <w:pageBreakBefore w:val="0"/>
        <w:widowControl w:val="0"/>
        <w:kinsoku/>
        <w:overflowPunct/>
        <w:topLinePunct w:val="0"/>
        <w:autoSpaceDE/>
        <w:autoSpaceDN/>
        <w:bidi w:val="0"/>
        <w:adjustRightInd/>
        <w:snapToGrid/>
        <w:spacing w:line="550" w:lineRule="exact"/>
        <w:ind w:firstLine="675" w:firstLineChars="200"/>
        <w:textAlignment w:val="auto"/>
        <w:rPr>
          <w:rFonts w:hint="default" w:ascii="仿宋_GB2312" w:hAnsi="仿宋_GB2312" w:eastAsia="仿宋_GB2312" w:cs="仿宋_GB2312"/>
          <w:b/>
          <w:bCs w:val="0"/>
          <w:spacing w:val="8"/>
          <w:sz w:val="32"/>
          <w:szCs w:val="32"/>
          <w:highlight w:val="none"/>
          <w:lang w:val="en-US"/>
        </w:rPr>
      </w:pPr>
      <w:r>
        <w:rPr>
          <w:rFonts w:hint="eastAsia" w:ascii="仿宋_GB2312" w:hAnsi="仿宋_GB2312" w:eastAsia="仿宋_GB2312" w:cs="仿宋_GB2312"/>
          <w:b/>
          <w:bCs w:val="0"/>
          <w:spacing w:val="8"/>
          <w:sz w:val="32"/>
          <w:szCs w:val="32"/>
          <w:highlight w:val="none"/>
        </w:rPr>
        <w:t>1.关于</w:t>
      </w:r>
      <w:r>
        <w:rPr>
          <w:rFonts w:hint="eastAsia" w:ascii="仿宋_GB2312" w:hAnsi="仿宋_GB2312" w:eastAsia="仿宋_GB2312" w:cs="仿宋_GB2312"/>
          <w:b/>
          <w:bCs w:val="0"/>
          <w:color w:val="auto"/>
          <w:sz w:val="32"/>
          <w:szCs w:val="32"/>
          <w:highlight w:val="none"/>
          <w:lang w:val="en-US" w:eastAsia="zh-CN"/>
        </w:rPr>
        <w:t>学习贯彻习近平新时代中国特色社会主义思想和党的二十大精神方面</w:t>
      </w:r>
    </w:p>
    <w:p w14:paraId="280391DD">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spacing w:val="8"/>
          <w:sz w:val="32"/>
          <w:szCs w:val="32"/>
          <w:highlight w:val="none"/>
        </w:rPr>
        <w:t>针对</w:t>
      </w:r>
      <w:r>
        <w:rPr>
          <w:rFonts w:hint="eastAsia" w:ascii="仿宋_GB2312" w:hAnsi="仿宋_GB2312" w:eastAsia="仿宋_GB2312" w:cs="仿宋_GB2312"/>
          <w:b w:val="0"/>
          <w:bCs/>
          <w:color w:val="auto"/>
          <w:sz w:val="32"/>
          <w:szCs w:val="32"/>
          <w:highlight w:val="none"/>
          <w:lang w:val="en-US" w:eastAsia="zh-CN"/>
        </w:rPr>
        <w:t>理论学习中心组学习方面。</w:t>
      </w:r>
      <w:r>
        <w:rPr>
          <w:rFonts w:hint="eastAsia" w:ascii="仿宋_GB2312" w:hAnsi="仿宋_GB2312" w:eastAsia="仿宋_GB2312" w:cs="仿宋_GB2312"/>
          <w:b w:val="0"/>
          <w:bCs/>
          <w:spacing w:val="8"/>
          <w:sz w:val="32"/>
          <w:szCs w:val="32"/>
          <w:highlight w:val="none"/>
        </w:rPr>
        <w:t>一是</w:t>
      </w:r>
      <w:r>
        <w:rPr>
          <w:rFonts w:hint="eastAsia" w:ascii="仿宋_GB2312" w:hAnsi="仿宋_GB2312" w:eastAsia="仿宋_GB2312" w:cs="仿宋_GB2312"/>
          <w:b w:val="0"/>
          <w:bCs/>
          <w:color w:val="auto"/>
          <w:sz w:val="32"/>
          <w:szCs w:val="32"/>
          <w:highlight w:val="none"/>
          <w:lang w:val="en-US" w:eastAsia="zh-CN"/>
        </w:rPr>
        <w:t>完善学习计划。全年计划安排理论学习12次，其中集中学习9次，交流研讨3次；二是丰富学习形式。在理论学习的基础上，开展了4次理论学习中心组交流研讨，并于2024年10月25日观看了专题片，提升了理论学习中心组学习质效；三是提升学习质量。中心组成员结合分管领域，开展实地走访、座谈交流9次，把理论知识运用到实践中。</w:t>
      </w:r>
    </w:p>
    <w:p w14:paraId="1BF43668">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b w:val="0"/>
          <w:bCs/>
          <w:spacing w:val="8"/>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针对理论联系实际学的方面。一是设置专人负责理论学习中心组学习内容、学习计划、学习形式安排，科学制定了12次学习各层面理论知识内容，做到了理论学习全覆盖；二是每次学习安排部分中心组成员进行重点发言，分享学习心得和体会，其他成员进行补充发言和讨论，促进相互学习和共同提高。要求中心组成员将学习成果转化为实际工作中的思路和举措，切实解决实际问题；三是扩展学习内容。纳入习近平总书记关于信访工作的重要论述及《信访工作条例》、习近平总书记关于“三农”工作和乡村振兴战略的重要论述、习近平总书记关于生态文明建设、人居环境保护的重要论述等课题，组织开展集中学习和自学4次，以贴近农村的新理论新政策指导农村工作。</w:t>
      </w:r>
    </w:p>
    <w:p w14:paraId="16870954">
      <w:pPr>
        <w:keepNext w:val="0"/>
        <w:keepLines w:val="0"/>
        <w:pageBreakBefore w:val="0"/>
        <w:widowControl w:val="0"/>
        <w:kinsoku/>
        <w:overflowPunct/>
        <w:topLinePunct w:val="0"/>
        <w:autoSpaceDE/>
        <w:autoSpaceDN/>
        <w:bidi w:val="0"/>
        <w:adjustRightInd/>
        <w:snapToGrid/>
        <w:spacing w:line="550" w:lineRule="exact"/>
        <w:ind w:firstLine="672" w:firstLineChars="200"/>
        <w:textAlignment w:val="auto"/>
        <w:rPr>
          <w:rFonts w:hint="eastAsia" w:ascii="楷体_GB2312" w:hAnsi="楷体_GB2312" w:eastAsia="楷体_GB2312" w:cs="楷体_GB2312"/>
          <w:b w:val="0"/>
          <w:bCs/>
          <w:spacing w:val="8"/>
          <w:sz w:val="32"/>
          <w:szCs w:val="32"/>
          <w:highlight w:val="none"/>
        </w:rPr>
      </w:pPr>
      <w:r>
        <w:rPr>
          <w:rFonts w:hint="eastAsia" w:ascii="楷体_GB2312" w:hAnsi="楷体_GB2312" w:eastAsia="楷体_GB2312" w:cs="楷体_GB2312"/>
          <w:b w:val="0"/>
          <w:bCs/>
          <w:spacing w:val="8"/>
          <w:sz w:val="32"/>
          <w:szCs w:val="32"/>
          <w:highlight w:val="none"/>
        </w:rPr>
        <w:t>（</w:t>
      </w:r>
      <w:r>
        <w:rPr>
          <w:rFonts w:hint="eastAsia" w:ascii="楷体_GB2312" w:hAnsi="楷体_GB2312" w:eastAsia="楷体_GB2312" w:cs="楷体_GB2312"/>
          <w:b w:val="0"/>
          <w:bCs/>
          <w:spacing w:val="8"/>
          <w:sz w:val="32"/>
          <w:szCs w:val="32"/>
          <w:highlight w:val="none"/>
          <w:lang w:val="en-US" w:eastAsia="zh-CN"/>
        </w:rPr>
        <w:t>二</w:t>
      </w:r>
      <w:r>
        <w:rPr>
          <w:rFonts w:hint="eastAsia" w:ascii="楷体_GB2312" w:hAnsi="楷体_GB2312" w:eastAsia="楷体_GB2312" w:cs="楷体_GB2312"/>
          <w:b w:val="0"/>
          <w:bCs/>
          <w:spacing w:val="8"/>
          <w:sz w:val="32"/>
          <w:szCs w:val="32"/>
          <w:highlight w:val="none"/>
        </w:rPr>
        <w:t>）关于聚焦党中央各项决策部署在基层贯彻落实情况方面</w:t>
      </w:r>
    </w:p>
    <w:p w14:paraId="1FA93B1F">
      <w:pPr>
        <w:keepNext w:val="0"/>
        <w:keepLines w:val="0"/>
        <w:pageBreakBefore w:val="0"/>
        <w:widowControl w:val="0"/>
        <w:kinsoku/>
        <w:overflowPunct/>
        <w:topLinePunct w:val="0"/>
        <w:autoSpaceDE/>
        <w:autoSpaceDN/>
        <w:bidi w:val="0"/>
        <w:adjustRightInd/>
        <w:snapToGrid/>
        <w:spacing w:line="550" w:lineRule="exact"/>
        <w:ind w:firstLine="675" w:firstLineChars="200"/>
        <w:textAlignment w:val="auto"/>
        <w:rPr>
          <w:rFonts w:hint="eastAsia" w:ascii="仿宋_GB2312" w:hAnsi="仿宋_GB2312" w:eastAsia="仿宋_GB2312" w:cs="仿宋_GB2312"/>
          <w:b/>
          <w:bCs w:val="0"/>
          <w:spacing w:val="8"/>
          <w:sz w:val="32"/>
          <w:szCs w:val="32"/>
          <w:highlight w:val="none"/>
          <w:lang w:eastAsia="zh-CN"/>
        </w:rPr>
      </w:pPr>
      <w:r>
        <w:rPr>
          <w:rFonts w:hint="eastAsia" w:ascii="仿宋_GB2312" w:hAnsi="仿宋_GB2312" w:eastAsia="仿宋_GB2312" w:cs="仿宋_GB2312"/>
          <w:b/>
          <w:bCs w:val="0"/>
          <w:spacing w:val="8"/>
          <w:sz w:val="32"/>
          <w:szCs w:val="32"/>
          <w:highlight w:val="none"/>
          <w:lang w:val="en-US" w:eastAsia="zh-CN"/>
        </w:rPr>
        <w:t>1.关于</w:t>
      </w:r>
      <w:r>
        <w:rPr>
          <w:rFonts w:hint="eastAsia" w:ascii="仿宋_GB2312" w:hAnsi="仿宋_GB2312" w:eastAsia="仿宋_GB2312" w:cs="仿宋_GB2312"/>
          <w:b/>
          <w:bCs w:val="0"/>
          <w:spacing w:val="8"/>
          <w:sz w:val="32"/>
          <w:szCs w:val="32"/>
          <w:highlight w:val="none"/>
        </w:rPr>
        <w:t>履行职能责任，贯彻落实党中央和省市区委</w:t>
      </w:r>
      <w:r>
        <w:rPr>
          <w:rFonts w:hint="eastAsia" w:ascii="仿宋_GB2312" w:hAnsi="仿宋_GB2312" w:eastAsia="仿宋_GB2312" w:cs="仿宋_GB2312"/>
          <w:b/>
          <w:bCs w:val="0"/>
          <w:spacing w:val="8"/>
          <w:sz w:val="32"/>
          <w:szCs w:val="32"/>
          <w:highlight w:val="none"/>
          <w:lang w:eastAsia="zh-CN"/>
        </w:rPr>
        <w:t>重大决策部署</w:t>
      </w:r>
      <w:r>
        <w:rPr>
          <w:rFonts w:hint="eastAsia" w:ascii="仿宋_GB2312" w:hAnsi="仿宋_GB2312" w:eastAsia="仿宋_GB2312" w:cs="仿宋_GB2312"/>
          <w:b/>
          <w:bCs w:val="0"/>
          <w:spacing w:val="8"/>
          <w:sz w:val="32"/>
          <w:szCs w:val="32"/>
          <w:highlight w:val="none"/>
          <w:lang w:val="en-US" w:eastAsia="zh-CN"/>
        </w:rPr>
        <w:t>方面</w:t>
      </w:r>
    </w:p>
    <w:p w14:paraId="71397FF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针对河湖长制责任落实常态化管理方面。一是平湖街道每季度召开一次学习培训会，其中于2024年6月6日召开理论学习中心组学习会和党工委会议学习研究并安排部署河长制工作；2024年8月29日召开街道河湖长制工作部署会；2024年11月2日召开了河长制工作学习培训会；2025年1月22日召开街道河湖长制工作部署会；2025年3月21日召开党委会部署河湖长制工作；二是平湖街道开展了街村两级河长巡河行动，对重点流域和黑顶子河排查20余次，对河道旁养殖户检查5次，清理河道15次，发现的问题都已及时清理；三是街道组织包村干部每季度对各村巡河人员进行了督导，确保巡河工作走深走实。</w:t>
      </w:r>
    </w:p>
    <w:p w14:paraId="35F9DE2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b w:val="0"/>
          <w:bCs/>
          <w:color w:val="auto"/>
          <w:sz w:val="32"/>
          <w:szCs w:val="32"/>
          <w:highlight w:val="none"/>
          <w:lang w:val="en-US"/>
        </w:rPr>
      </w:pP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lang w:val="en-US" w:eastAsia="zh-CN"/>
        </w:rPr>
        <w:t>三）关于聚焦基层党组织建设方面</w:t>
      </w:r>
    </w:p>
    <w:p w14:paraId="52F2C181">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1.关于机关党建工作责任制落实方面</w:t>
      </w:r>
    </w:p>
    <w:p w14:paraId="2E4859A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bCs w:val="0"/>
          <w:color w:val="auto"/>
          <w:spacing w:val="0"/>
          <w:kern w:val="2"/>
          <w:sz w:val="32"/>
          <w:szCs w:val="32"/>
          <w:highlight w:val="none"/>
          <w:lang w:val="en-US" w:eastAsia="zh-CN" w:bidi="ar-SA"/>
        </w:rPr>
      </w:pPr>
      <w:r>
        <w:rPr>
          <w:rFonts w:hint="eastAsia" w:ascii="仿宋_GB2312" w:hAnsi="仿宋_GB2312" w:eastAsia="仿宋_GB2312" w:cs="仿宋_GB2312"/>
          <w:b w:val="0"/>
          <w:bCs/>
          <w:color w:val="auto"/>
          <w:sz w:val="32"/>
          <w:szCs w:val="32"/>
          <w:highlight w:val="none"/>
          <w:lang w:val="en-US" w:eastAsia="zh-CN"/>
        </w:rPr>
        <w:t>针对</w:t>
      </w:r>
      <w:r>
        <w:rPr>
          <w:rFonts w:hint="eastAsia" w:ascii="仿宋_GB2312" w:hAnsi="仿宋_GB2312" w:eastAsia="仿宋_GB2312" w:cs="仿宋_GB2312"/>
          <w:b w:val="0"/>
          <w:bCs/>
          <w:color w:val="auto"/>
          <w:sz w:val="32"/>
          <w:szCs w:val="32"/>
          <w:highlight w:val="none"/>
        </w:rPr>
        <w:t>机关党建工作责任制落实</w:t>
      </w:r>
      <w:r>
        <w:rPr>
          <w:rFonts w:hint="eastAsia" w:ascii="仿宋_GB2312" w:hAnsi="仿宋_GB2312" w:eastAsia="仿宋_GB2312" w:cs="仿宋_GB2312"/>
          <w:b w:val="0"/>
          <w:bCs/>
          <w:color w:val="auto"/>
          <w:sz w:val="32"/>
          <w:szCs w:val="32"/>
          <w:highlight w:val="none"/>
          <w:lang w:val="en-US" w:eastAsia="zh-CN"/>
        </w:rPr>
        <w:t>方面</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一是</w:t>
      </w:r>
      <w:r>
        <w:rPr>
          <w:rFonts w:hint="eastAsia" w:ascii="仿宋_GB2312" w:hAnsi="仿宋_GB2312" w:eastAsia="仿宋_GB2312" w:cs="仿宋_GB2312"/>
          <w:b w:val="0"/>
          <w:bCs/>
          <w:color w:val="auto"/>
          <w:sz w:val="32"/>
          <w:szCs w:val="32"/>
          <w:highlight w:val="none"/>
        </w:rPr>
        <w:t>在街道党工委会议议程安排上设立了“第一议题”专栏，2024年6月至2025年2月共计召开党工委学习“第一议题”10次；</w:t>
      </w:r>
      <w:r>
        <w:rPr>
          <w:rFonts w:hint="eastAsia" w:ascii="仿宋_GB2312" w:hAnsi="仿宋_GB2312" w:eastAsia="仿宋_GB2312" w:cs="仿宋_GB2312"/>
          <w:b w:val="0"/>
          <w:bCs/>
          <w:color w:val="auto"/>
          <w:sz w:val="32"/>
          <w:szCs w:val="32"/>
          <w:highlight w:val="none"/>
          <w:lang w:val="en-US" w:eastAsia="zh-CN"/>
        </w:rPr>
        <w:t>二是</w:t>
      </w:r>
      <w:r>
        <w:rPr>
          <w:rFonts w:hint="eastAsia" w:ascii="仿宋_GB2312" w:hAnsi="仿宋_GB2312" w:eastAsia="仿宋_GB2312" w:cs="仿宋_GB2312"/>
          <w:b w:val="0"/>
          <w:bCs/>
          <w:color w:val="auto"/>
          <w:sz w:val="32"/>
          <w:szCs w:val="32"/>
          <w:highlight w:val="none"/>
        </w:rPr>
        <w:t>通过检查“三会一课”、询问村组干部等方式，对村级党组织党建工作情况进行检查抽查，累计检查10余次，并将问题及时反馈给基层党组织，要求其在规定日期内完成整改；</w:t>
      </w:r>
      <w:r>
        <w:rPr>
          <w:rFonts w:hint="eastAsia" w:ascii="仿宋_GB2312" w:hAnsi="仿宋_GB2312" w:eastAsia="仿宋_GB2312" w:cs="仿宋_GB2312"/>
          <w:b w:val="0"/>
          <w:bCs/>
          <w:color w:val="auto"/>
          <w:sz w:val="32"/>
          <w:szCs w:val="32"/>
          <w:highlight w:val="none"/>
          <w:lang w:val="en-US" w:eastAsia="zh-CN"/>
        </w:rPr>
        <w:t>三是</w:t>
      </w:r>
      <w:r>
        <w:rPr>
          <w:rFonts w:hint="eastAsia" w:ascii="仿宋_GB2312" w:hAnsi="仿宋_GB2312" w:eastAsia="仿宋_GB2312" w:cs="仿宋_GB2312"/>
          <w:b w:val="0"/>
          <w:bCs/>
          <w:color w:val="auto"/>
          <w:sz w:val="32"/>
          <w:szCs w:val="32"/>
          <w:highlight w:val="none"/>
        </w:rPr>
        <w:t>严格基层党组织组织生活。发挥党组织书记引领作用，16个基层党组织书记撰写了组织生活会发言提纲，及时进行自查和整改。</w:t>
      </w:r>
    </w:p>
    <w:p w14:paraId="748C976A">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640" w:leftChars="0" w:firstLine="0" w:firstLineChars="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pacing w:val="0"/>
          <w:kern w:val="2"/>
          <w:sz w:val="32"/>
          <w:szCs w:val="32"/>
          <w:lang w:val="en-US" w:eastAsia="zh-CN" w:bidi="ar-SA"/>
        </w:rPr>
        <w:t>2.</w:t>
      </w:r>
      <w:r>
        <w:rPr>
          <w:rFonts w:hint="eastAsia" w:ascii="仿宋_GB2312" w:hAnsi="仿宋_GB2312" w:eastAsia="仿宋_GB2312" w:cs="仿宋_GB2312"/>
          <w:b/>
          <w:bCs w:val="0"/>
          <w:color w:val="auto"/>
          <w:sz w:val="32"/>
          <w:szCs w:val="32"/>
          <w:lang w:val="en-US" w:eastAsia="zh-CN"/>
        </w:rPr>
        <w:t>关于人才队伍建设方面</w:t>
      </w:r>
    </w:p>
    <w:p w14:paraId="33965207">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color w:val="4472C4" w:themeColor="accent1"/>
          <w:sz w:val="32"/>
          <w:szCs w:val="32"/>
          <w14:textFill>
            <w14:solidFill>
              <w14:schemeClr w14:val="accent1"/>
            </w14:solidFill>
          </w14:textFill>
        </w:rPr>
      </w:pPr>
      <w:r>
        <w:rPr>
          <w:rFonts w:hint="eastAsia" w:ascii="仿宋_GB2312" w:hAnsi="仿宋_GB2312" w:eastAsia="仿宋_GB2312" w:cs="仿宋_GB2312"/>
          <w:b w:val="0"/>
          <w:bCs/>
          <w:color w:val="auto"/>
          <w:sz w:val="32"/>
          <w:szCs w:val="32"/>
          <w:lang w:val="en-US" w:eastAsia="zh-CN"/>
        </w:rPr>
        <w:t>针对</w:t>
      </w:r>
      <w:r>
        <w:rPr>
          <w:rFonts w:hint="eastAsia" w:ascii="仿宋_GB2312" w:hAnsi="仿宋_GB2312" w:eastAsia="仿宋_GB2312" w:cs="仿宋_GB2312"/>
          <w:b w:val="0"/>
          <w:bCs/>
          <w:color w:val="auto"/>
          <w:sz w:val="32"/>
          <w:szCs w:val="32"/>
        </w:rPr>
        <w:t>贯彻落实选人用人新精神、新要求</w:t>
      </w:r>
      <w:r>
        <w:rPr>
          <w:rFonts w:hint="eastAsia" w:ascii="仿宋_GB2312" w:hAnsi="仿宋_GB2312" w:eastAsia="仿宋_GB2312" w:cs="仿宋_GB2312"/>
          <w:b w:val="0"/>
          <w:bCs/>
          <w:color w:val="auto"/>
          <w:sz w:val="32"/>
          <w:szCs w:val="32"/>
          <w:lang w:val="en-US" w:eastAsia="zh-CN"/>
        </w:rPr>
        <w:t>方面</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一是</w:t>
      </w:r>
      <w:r>
        <w:rPr>
          <w:rFonts w:hint="eastAsia" w:ascii="仿宋_GB2312" w:hAnsi="仿宋_GB2312" w:eastAsia="仿宋_GB2312" w:cs="仿宋_GB2312"/>
          <w:b w:val="0"/>
          <w:bCs/>
          <w:color w:val="auto"/>
          <w:sz w:val="32"/>
          <w:szCs w:val="32"/>
        </w:rPr>
        <w:t>强化理论学习。坚持把习近平总书记关于党管干部和选人用人等方面的重要讲话、重要论述和指示批示精神纳入理论学习中心组学习内容</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二是</w:t>
      </w:r>
      <w:r>
        <w:rPr>
          <w:rFonts w:hint="eastAsia" w:ascii="仿宋_GB2312" w:hAnsi="仿宋_GB2312" w:eastAsia="仿宋_GB2312" w:cs="仿宋_GB2312"/>
          <w:b w:val="0"/>
          <w:bCs/>
          <w:color w:val="auto"/>
          <w:sz w:val="32"/>
          <w:szCs w:val="32"/>
        </w:rPr>
        <w:t>组织理论学习中心组学习《党政领导干部选拔任用工作条例》《习近平关于新时代好干部标准重要讲话精神》等相关精神，2024年学习2次，用理论知识推动选人实践</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三是</w:t>
      </w:r>
      <w:r>
        <w:rPr>
          <w:rFonts w:hint="eastAsia" w:ascii="仿宋_GB2312" w:hAnsi="仿宋_GB2312" w:eastAsia="仿宋_GB2312" w:cs="仿宋_GB2312"/>
          <w:b w:val="0"/>
          <w:bCs/>
          <w:color w:val="auto"/>
          <w:sz w:val="32"/>
          <w:szCs w:val="32"/>
        </w:rPr>
        <w:t>规范选人用人程序：严格执行动议、民主推荐、考察、讨论决定等环节，全程公开透明，引入群众评议机制，杜绝 “带病提拔”，保证选人用人程序合法合规。</w:t>
      </w:r>
    </w:p>
    <w:p w14:paraId="38070B7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spacing w:val="8"/>
          <w:sz w:val="32"/>
          <w:szCs w:val="32"/>
        </w:rPr>
      </w:pPr>
      <w:r>
        <w:rPr>
          <w:rFonts w:hint="eastAsia" w:ascii="仿宋_GB2312" w:hAnsi="仿宋_GB2312" w:eastAsia="仿宋_GB2312" w:cs="仿宋_GB2312"/>
          <w:b w:val="0"/>
          <w:bCs/>
          <w:color w:val="auto"/>
          <w:sz w:val="32"/>
          <w:szCs w:val="32"/>
          <w:lang w:val="en-US" w:eastAsia="zh-CN"/>
        </w:rPr>
        <w:t>针对</w:t>
      </w:r>
      <w:r>
        <w:rPr>
          <w:rFonts w:hint="eastAsia" w:ascii="仿宋_GB2312" w:hAnsi="仿宋_GB2312" w:eastAsia="仿宋_GB2312" w:cs="仿宋_GB2312"/>
          <w:b w:val="0"/>
          <w:bCs/>
          <w:color w:val="auto"/>
          <w:sz w:val="32"/>
          <w:szCs w:val="32"/>
        </w:rPr>
        <w:t>人才队伍建设谋划规划</w:t>
      </w:r>
      <w:r>
        <w:rPr>
          <w:rFonts w:hint="eastAsia" w:ascii="仿宋_GB2312" w:hAnsi="仿宋_GB2312" w:eastAsia="仿宋_GB2312" w:cs="仿宋_GB2312"/>
          <w:b w:val="0"/>
          <w:bCs/>
          <w:color w:val="auto"/>
          <w:sz w:val="32"/>
          <w:szCs w:val="32"/>
          <w:lang w:val="en-US" w:eastAsia="zh-CN"/>
        </w:rPr>
        <w:t>方面</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一是</w:t>
      </w:r>
      <w:r>
        <w:rPr>
          <w:rFonts w:hint="eastAsia" w:ascii="仿宋_GB2312" w:hAnsi="仿宋_GB2312" w:eastAsia="仿宋_GB2312" w:cs="仿宋_GB2312"/>
          <w:b w:val="0"/>
          <w:bCs/>
          <w:color w:val="auto"/>
          <w:sz w:val="32"/>
          <w:szCs w:val="32"/>
        </w:rPr>
        <w:t>成立人才队伍建设工作领导小组，形成“一把手”亲自抓、分管领导具体抓、各职能部门一起抓的人才工作领导体系，建立人才工作目标责任制，谋划人才队伍建设工作；</w:t>
      </w:r>
      <w:r>
        <w:rPr>
          <w:rFonts w:hint="eastAsia" w:ascii="仿宋_GB2312" w:hAnsi="仿宋_GB2312" w:eastAsia="仿宋_GB2312" w:cs="仿宋_GB2312"/>
          <w:b w:val="0"/>
          <w:bCs/>
          <w:color w:val="auto"/>
          <w:sz w:val="32"/>
          <w:szCs w:val="32"/>
          <w:lang w:val="en-US" w:eastAsia="zh-CN"/>
        </w:rPr>
        <w:t>二是</w:t>
      </w:r>
      <w:r>
        <w:rPr>
          <w:rFonts w:hint="eastAsia" w:ascii="仿宋_GB2312" w:hAnsi="仿宋_GB2312" w:eastAsia="仿宋_GB2312" w:cs="仿宋_GB2312"/>
          <w:b w:val="0"/>
          <w:bCs/>
          <w:color w:val="auto"/>
          <w:sz w:val="32"/>
          <w:szCs w:val="32"/>
        </w:rPr>
        <w:t>结合街道发展定位与需求，开展人才需求调研，做好基层治理专干、选调生等人才培养，绘制清晰的人才发展路线图；</w:t>
      </w:r>
      <w:r>
        <w:rPr>
          <w:rFonts w:hint="eastAsia" w:ascii="仿宋_GB2312" w:hAnsi="仿宋_GB2312" w:eastAsia="仿宋_GB2312" w:cs="仿宋_GB2312"/>
          <w:b w:val="0"/>
          <w:bCs/>
          <w:color w:val="auto"/>
          <w:sz w:val="32"/>
          <w:szCs w:val="32"/>
          <w:lang w:val="en-US" w:eastAsia="zh-CN"/>
        </w:rPr>
        <w:t>三是</w:t>
      </w:r>
      <w:r>
        <w:rPr>
          <w:rFonts w:hint="eastAsia" w:ascii="仿宋_GB2312" w:hAnsi="仿宋_GB2312" w:eastAsia="仿宋_GB2312" w:cs="仿宋_GB2312"/>
          <w:b w:val="0"/>
          <w:bCs/>
          <w:color w:val="auto"/>
          <w:sz w:val="32"/>
          <w:szCs w:val="32"/>
        </w:rPr>
        <w:t>始终加强党的领导、坚持党管干部原则</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通过</w:t>
      </w:r>
      <w:r>
        <w:rPr>
          <w:rFonts w:hint="eastAsia" w:ascii="仿宋_GB2312" w:hAnsi="仿宋_GB2312" w:eastAsia="仿宋_GB2312" w:cs="仿宋_GB2312"/>
          <w:b w:val="0"/>
          <w:bCs/>
          <w:color w:val="auto"/>
          <w:sz w:val="32"/>
          <w:szCs w:val="32"/>
          <w:lang w:val="en-US" w:eastAsia="zh-CN"/>
        </w:rPr>
        <w:t>党工委会议</w:t>
      </w:r>
      <w:r>
        <w:rPr>
          <w:rFonts w:hint="eastAsia" w:ascii="仿宋_GB2312" w:hAnsi="仿宋_GB2312" w:eastAsia="仿宋_GB2312" w:cs="仿宋_GB2312"/>
          <w:b w:val="0"/>
          <w:bCs/>
          <w:color w:val="auto"/>
          <w:sz w:val="32"/>
          <w:szCs w:val="32"/>
        </w:rPr>
        <w:t>讨论干部队伍建设、职级晋升、选人用人等工作，</w:t>
      </w:r>
      <w:bookmarkStart w:id="0" w:name="_GoBack"/>
      <w:bookmarkEnd w:id="0"/>
      <w:r>
        <w:rPr>
          <w:rFonts w:hint="eastAsia" w:ascii="仿宋_GB2312" w:hAnsi="仿宋_GB2312" w:eastAsia="仿宋_GB2312" w:cs="仿宋_GB2312"/>
          <w:b w:val="0"/>
          <w:bCs/>
          <w:color w:val="auto"/>
          <w:sz w:val="32"/>
          <w:szCs w:val="32"/>
        </w:rPr>
        <w:t>2024年通过党</w:t>
      </w:r>
      <w:r>
        <w:rPr>
          <w:rFonts w:hint="eastAsia" w:ascii="仿宋_GB2312" w:hAnsi="仿宋_GB2312" w:eastAsia="仿宋_GB2312" w:cs="仿宋_GB2312"/>
          <w:b w:val="0"/>
          <w:bCs/>
          <w:color w:val="auto"/>
          <w:sz w:val="32"/>
          <w:szCs w:val="32"/>
          <w:lang w:val="en-US" w:eastAsia="zh-CN"/>
        </w:rPr>
        <w:t>工</w:t>
      </w:r>
      <w:r>
        <w:rPr>
          <w:rFonts w:hint="eastAsia" w:ascii="仿宋_GB2312" w:hAnsi="仿宋_GB2312" w:eastAsia="仿宋_GB2312" w:cs="仿宋_GB2312"/>
          <w:b w:val="0"/>
          <w:bCs/>
          <w:color w:val="auto"/>
          <w:sz w:val="32"/>
          <w:szCs w:val="32"/>
        </w:rPr>
        <w:t>委</w:t>
      </w:r>
      <w:r>
        <w:rPr>
          <w:rFonts w:hint="eastAsia" w:ascii="仿宋_GB2312" w:hAnsi="仿宋_GB2312" w:eastAsia="仿宋_GB2312" w:cs="仿宋_GB2312"/>
          <w:b w:val="0"/>
          <w:bCs/>
          <w:color w:val="auto"/>
          <w:sz w:val="32"/>
          <w:szCs w:val="32"/>
          <w:lang w:val="en-US" w:eastAsia="zh-CN"/>
        </w:rPr>
        <w:t>会议</w:t>
      </w:r>
      <w:r>
        <w:rPr>
          <w:rFonts w:hint="eastAsia" w:ascii="仿宋_GB2312" w:hAnsi="仿宋_GB2312" w:eastAsia="仿宋_GB2312" w:cs="仿宋_GB2312"/>
          <w:b w:val="0"/>
          <w:bCs/>
          <w:color w:val="auto"/>
          <w:sz w:val="32"/>
          <w:szCs w:val="32"/>
        </w:rPr>
        <w:t>研究讨论决定选人用人等工作6次。</w:t>
      </w:r>
    </w:p>
    <w:p w14:paraId="5E591EDA">
      <w:pPr>
        <w:keepNext w:val="0"/>
        <w:keepLines w:val="0"/>
        <w:pageBreakBefore w:val="0"/>
        <w:widowControl w:val="0"/>
        <w:kinsoku/>
        <w:overflowPunct/>
        <w:topLinePunct w:val="0"/>
        <w:autoSpaceDE/>
        <w:autoSpaceDN/>
        <w:bidi w:val="0"/>
        <w:adjustRightInd/>
        <w:snapToGrid/>
        <w:spacing w:line="550" w:lineRule="exact"/>
        <w:ind w:firstLine="672" w:firstLineChars="200"/>
        <w:textAlignment w:val="auto"/>
        <w:rPr>
          <w:rFonts w:hint="eastAsia" w:ascii="黑体" w:hAnsi="黑体" w:eastAsia="黑体" w:cs="黑体"/>
          <w:b w:val="0"/>
          <w:bCs/>
          <w:spacing w:val="8"/>
          <w:sz w:val="32"/>
          <w:szCs w:val="32"/>
          <w:lang w:val="en"/>
        </w:rPr>
      </w:pPr>
      <w:r>
        <w:rPr>
          <w:rFonts w:hint="eastAsia" w:ascii="黑体" w:hAnsi="黑体" w:eastAsia="黑体" w:cs="黑体"/>
          <w:b w:val="0"/>
          <w:bCs/>
          <w:spacing w:val="8"/>
          <w:sz w:val="32"/>
          <w:szCs w:val="32"/>
        </w:rPr>
        <w:t>三、下一步总体工作打算</w:t>
      </w:r>
    </w:p>
    <w:p w14:paraId="34D65194">
      <w:pPr>
        <w:keepNext w:val="0"/>
        <w:keepLines w:val="0"/>
        <w:pageBreakBefore w:val="0"/>
        <w:widowControl w:val="0"/>
        <w:kinsoku/>
        <w:overflowPunct/>
        <w:topLinePunct w:val="0"/>
        <w:autoSpaceDE/>
        <w:autoSpaceDN/>
        <w:bidi w:val="0"/>
        <w:adjustRightInd/>
        <w:snapToGrid/>
        <w:spacing w:line="550" w:lineRule="exact"/>
        <w:ind w:firstLine="672" w:firstLineChars="200"/>
        <w:textAlignment w:val="auto"/>
        <w:rPr>
          <w:rFonts w:hint="eastAsia" w:ascii="仿宋_GB2312" w:hAnsi="仿宋_GB2312" w:eastAsia="仿宋_GB2312" w:cs="仿宋_GB2312"/>
          <w:b w:val="0"/>
          <w:bCs/>
          <w:spacing w:val="8"/>
          <w:sz w:val="32"/>
          <w:szCs w:val="32"/>
        </w:rPr>
      </w:pPr>
      <w:r>
        <w:rPr>
          <w:rFonts w:hint="eastAsia" w:ascii="楷体_GB2312" w:hAnsi="楷体_GB2312" w:eastAsia="楷体_GB2312" w:cs="楷体_GB2312"/>
          <w:b w:val="0"/>
          <w:bCs/>
          <w:spacing w:val="8"/>
          <w:sz w:val="32"/>
          <w:szCs w:val="32"/>
          <w:lang w:eastAsia="zh-CN"/>
        </w:rPr>
        <w:t>（</w:t>
      </w:r>
      <w:r>
        <w:rPr>
          <w:rFonts w:hint="eastAsia" w:ascii="楷体_GB2312" w:hAnsi="楷体_GB2312" w:eastAsia="楷体_GB2312" w:cs="楷体_GB2312"/>
          <w:b w:val="0"/>
          <w:bCs/>
          <w:spacing w:val="8"/>
          <w:sz w:val="32"/>
          <w:szCs w:val="32"/>
          <w:lang w:val="en-US" w:eastAsia="zh-CN"/>
        </w:rPr>
        <w:t>一</w:t>
      </w:r>
      <w:r>
        <w:rPr>
          <w:rFonts w:hint="eastAsia" w:ascii="楷体_GB2312" w:hAnsi="楷体_GB2312" w:eastAsia="楷体_GB2312" w:cs="楷体_GB2312"/>
          <w:b w:val="0"/>
          <w:bCs/>
          <w:spacing w:val="8"/>
          <w:sz w:val="32"/>
          <w:szCs w:val="32"/>
          <w:lang w:eastAsia="zh-CN"/>
        </w:rPr>
        <w:t>）</w:t>
      </w:r>
      <w:r>
        <w:rPr>
          <w:rFonts w:hint="eastAsia" w:ascii="楷体_GB2312" w:hAnsi="楷体_GB2312" w:eastAsia="楷体_GB2312" w:cs="楷体_GB2312"/>
          <w:b w:val="0"/>
          <w:bCs/>
          <w:spacing w:val="8"/>
          <w:sz w:val="32"/>
          <w:szCs w:val="32"/>
        </w:rPr>
        <w:t>提高政治站位，强化责任意识。</w:t>
      </w:r>
      <w:r>
        <w:rPr>
          <w:rFonts w:hint="eastAsia" w:ascii="仿宋_GB2312" w:hAnsi="仿宋_GB2312" w:eastAsia="仿宋_GB2312" w:cs="仿宋_GB2312"/>
          <w:b w:val="0"/>
          <w:bCs/>
          <w:spacing w:val="8"/>
          <w:sz w:val="32"/>
          <w:szCs w:val="32"/>
        </w:rPr>
        <w:t>坚持把巡察反馈意见整改工作作为一项政治任务，将思想和行动统一到</w:t>
      </w:r>
      <w:r>
        <w:rPr>
          <w:rFonts w:hint="eastAsia" w:ascii="仿宋_GB2312" w:hAnsi="仿宋_GB2312" w:eastAsia="仿宋_GB2312" w:cs="仿宋_GB2312"/>
          <w:b w:val="0"/>
          <w:bCs/>
          <w:spacing w:val="8"/>
          <w:sz w:val="32"/>
          <w:szCs w:val="32"/>
          <w:lang w:val="en-US" w:eastAsia="zh-CN"/>
        </w:rPr>
        <w:t>区</w:t>
      </w:r>
      <w:r>
        <w:rPr>
          <w:rFonts w:hint="eastAsia" w:ascii="仿宋_GB2312" w:hAnsi="仿宋_GB2312" w:eastAsia="仿宋_GB2312" w:cs="仿宋_GB2312"/>
          <w:b w:val="0"/>
          <w:bCs/>
          <w:spacing w:val="8"/>
          <w:sz w:val="32"/>
          <w:szCs w:val="32"/>
        </w:rPr>
        <w:t>委巡察组的工作要求上来，进一步增强做好巡察整改工作的政治自觉和行动自觉，聚焦工作短板，坚持问题导向，扎实开展整改，确保整改取得实效。</w:t>
      </w:r>
    </w:p>
    <w:p w14:paraId="2F9311F7">
      <w:pPr>
        <w:keepNext w:val="0"/>
        <w:keepLines w:val="0"/>
        <w:pageBreakBefore w:val="0"/>
        <w:widowControl w:val="0"/>
        <w:kinsoku/>
        <w:overflowPunct/>
        <w:topLinePunct w:val="0"/>
        <w:autoSpaceDE/>
        <w:autoSpaceDN/>
        <w:bidi w:val="0"/>
        <w:adjustRightInd/>
        <w:snapToGrid/>
        <w:spacing w:line="550" w:lineRule="exact"/>
        <w:ind w:firstLine="672" w:firstLineChars="200"/>
        <w:textAlignment w:val="auto"/>
        <w:rPr>
          <w:rFonts w:hint="eastAsia" w:ascii="仿宋_GB2312" w:hAnsi="仿宋_GB2312" w:eastAsia="仿宋_GB2312" w:cs="仿宋_GB2312"/>
          <w:b w:val="0"/>
          <w:bCs/>
          <w:spacing w:val="8"/>
          <w:sz w:val="32"/>
          <w:szCs w:val="32"/>
        </w:rPr>
      </w:pPr>
      <w:r>
        <w:rPr>
          <w:rFonts w:hint="eastAsia" w:ascii="楷体_GB2312" w:hAnsi="楷体_GB2312" w:eastAsia="楷体_GB2312" w:cs="楷体_GB2312"/>
          <w:b w:val="0"/>
          <w:bCs/>
          <w:spacing w:val="8"/>
          <w:sz w:val="32"/>
          <w:szCs w:val="32"/>
          <w:lang w:eastAsia="zh-CN"/>
        </w:rPr>
        <w:t>（</w:t>
      </w:r>
      <w:r>
        <w:rPr>
          <w:rFonts w:hint="eastAsia" w:ascii="楷体_GB2312" w:hAnsi="楷体_GB2312" w:eastAsia="楷体_GB2312" w:cs="楷体_GB2312"/>
          <w:b w:val="0"/>
          <w:bCs/>
          <w:spacing w:val="8"/>
          <w:sz w:val="32"/>
          <w:szCs w:val="32"/>
          <w:lang w:val="en-US" w:eastAsia="zh-CN"/>
        </w:rPr>
        <w:t>二</w:t>
      </w:r>
      <w:r>
        <w:rPr>
          <w:rFonts w:hint="eastAsia" w:ascii="楷体_GB2312" w:hAnsi="楷体_GB2312" w:eastAsia="楷体_GB2312" w:cs="楷体_GB2312"/>
          <w:b w:val="0"/>
          <w:bCs/>
          <w:spacing w:val="8"/>
          <w:sz w:val="32"/>
          <w:szCs w:val="32"/>
          <w:lang w:eastAsia="zh-CN"/>
        </w:rPr>
        <w:t>）</w:t>
      </w:r>
      <w:r>
        <w:rPr>
          <w:rFonts w:hint="eastAsia" w:ascii="楷体_GB2312" w:hAnsi="楷体_GB2312" w:eastAsia="楷体_GB2312" w:cs="楷体_GB2312"/>
          <w:b w:val="0"/>
          <w:bCs/>
          <w:spacing w:val="8"/>
          <w:sz w:val="32"/>
          <w:szCs w:val="32"/>
        </w:rPr>
        <w:t>强化问题导向，抓好问题整改。</w:t>
      </w:r>
      <w:r>
        <w:rPr>
          <w:rFonts w:hint="eastAsia" w:ascii="仿宋_GB2312" w:hAnsi="仿宋_GB2312" w:eastAsia="仿宋_GB2312" w:cs="仿宋_GB2312"/>
          <w:b w:val="0"/>
          <w:bCs/>
          <w:spacing w:val="8"/>
          <w:sz w:val="32"/>
          <w:szCs w:val="32"/>
        </w:rPr>
        <w:t>坚持整改目标不变、整改劲头不松、整改力度不减，进一步增强巡察整改的责任感和使命感，切实把我</w:t>
      </w:r>
      <w:r>
        <w:rPr>
          <w:rFonts w:hint="eastAsia" w:ascii="仿宋_GB2312" w:hAnsi="仿宋_GB2312" w:eastAsia="仿宋_GB2312" w:cs="仿宋_GB2312"/>
          <w:b w:val="0"/>
          <w:bCs/>
          <w:spacing w:val="8"/>
          <w:sz w:val="32"/>
          <w:szCs w:val="32"/>
          <w:lang w:val="en-US" w:eastAsia="zh-CN"/>
        </w:rPr>
        <w:t>街</w:t>
      </w:r>
      <w:r>
        <w:rPr>
          <w:rFonts w:hint="eastAsia" w:ascii="仿宋_GB2312" w:hAnsi="仿宋_GB2312" w:eastAsia="仿宋_GB2312" w:cs="仿宋_GB2312"/>
          <w:b w:val="0"/>
          <w:bCs/>
          <w:spacing w:val="8"/>
          <w:sz w:val="32"/>
          <w:szCs w:val="32"/>
        </w:rPr>
        <w:t>巡察整改后续工作抓紧抓实抓好。对已完成的整改任务，适时组织“回头看”，巩固整改成果，防止问题反弹</w:t>
      </w:r>
      <w:r>
        <w:rPr>
          <w:rFonts w:hint="eastAsia" w:ascii="仿宋_GB2312" w:hAnsi="仿宋_GB2312" w:eastAsia="仿宋_GB2312" w:cs="仿宋_GB2312"/>
          <w:b w:val="0"/>
          <w:bCs/>
          <w:spacing w:val="8"/>
          <w:sz w:val="32"/>
          <w:szCs w:val="32"/>
          <w:lang w:eastAsia="zh-CN"/>
        </w:rPr>
        <w:t>，</w:t>
      </w:r>
      <w:r>
        <w:rPr>
          <w:rFonts w:hint="eastAsia" w:ascii="仿宋_GB2312" w:hAnsi="仿宋_GB2312" w:eastAsia="仿宋_GB2312" w:cs="仿宋_GB2312"/>
          <w:b w:val="0"/>
          <w:bCs/>
          <w:spacing w:val="8"/>
          <w:sz w:val="32"/>
          <w:szCs w:val="32"/>
        </w:rPr>
        <w:t>坚持一抓到底，坚决完成整改，务求取得实效。</w:t>
      </w:r>
    </w:p>
    <w:p w14:paraId="410A6ACB">
      <w:pPr>
        <w:keepNext w:val="0"/>
        <w:keepLines w:val="0"/>
        <w:pageBreakBefore w:val="0"/>
        <w:widowControl w:val="0"/>
        <w:kinsoku/>
        <w:overflowPunct/>
        <w:topLinePunct w:val="0"/>
        <w:autoSpaceDE/>
        <w:autoSpaceDN/>
        <w:bidi w:val="0"/>
        <w:adjustRightInd/>
        <w:snapToGrid/>
        <w:spacing w:line="550" w:lineRule="exact"/>
        <w:ind w:firstLine="672" w:firstLineChars="200"/>
        <w:textAlignment w:val="auto"/>
        <w:rPr>
          <w:rFonts w:hint="eastAsia" w:ascii="仿宋_GB2312" w:hAnsi="仿宋_GB2312" w:eastAsia="仿宋_GB2312" w:cs="仿宋_GB2312"/>
          <w:b w:val="0"/>
          <w:bCs/>
          <w:spacing w:val="8"/>
          <w:sz w:val="32"/>
          <w:szCs w:val="32"/>
        </w:rPr>
      </w:pPr>
      <w:r>
        <w:rPr>
          <w:rFonts w:hint="eastAsia" w:ascii="楷体_GB2312" w:hAnsi="楷体_GB2312" w:eastAsia="楷体_GB2312" w:cs="楷体_GB2312"/>
          <w:b w:val="0"/>
          <w:bCs/>
          <w:spacing w:val="8"/>
          <w:sz w:val="32"/>
          <w:szCs w:val="32"/>
          <w:lang w:eastAsia="zh-CN"/>
        </w:rPr>
        <w:t>（</w:t>
      </w:r>
      <w:r>
        <w:rPr>
          <w:rFonts w:hint="eastAsia" w:ascii="楷体_GB2312" w:hAnsi="楷体_GB2312" w:eastAsia="楷体_GB2312" w:cs="楷体_GB2312"/>
          <w:b w:val="0"/>
          <w:bCs/>
          <w:spacing w:val="8"/>
          <w:sz w:val="32"/>
          <w:szCs w:val="32"/>
          <w:lang w:val="en-US" w:eastAsia="zh-CN"/>
        </w:rPr>
        <w:t>三</w:t>
      </w:r>
      <w:r>
        <w:rPr>
          <w:rFonts w:hint="eastAsia" w:ascii="楷体_GB2312" w:hAnsi="楷体_GB2312" w:eastAsia="楷体_GB2312" w:cs="楷体_GB2312"/>
          <w:b w:val="0"/>
          <w:bCs/>
          <w:spacing w:val="8"/>
          <w:sz w:val="32"/>
          <w:szCs w:val="32"/>
          <w:lang w:eastAsia="zh-CN"/>
        </w:rPr>
        <w:t>）</w:t>
      </w:r>
      <w:r>
        <w:rPr>
          <w:rFonts w:hint="eastAsia" w:ascii="楷体_GB2312" w:hAnsi="楷体_GB2312" w:eastAsia="楷体_GB2312" w:cs="楷体_GB2312"/>
          <w:b w:val="0"/>
          <w:bCs/>
          <w:spacing w:val="8"/>
          <w:sz w:val="32"/>
          <w:szCs w:val="32"/>
        </w:rPr>
        <w:t>建立长效机制，巩固整改成果。</w:t>
      </w:r>
      <w:r>
        <w:rPr>
          <w:rFonts w:hint="eastAsia" w:ascii="仿宋_GB2312" w:hAnsi="仿宋_GB2312" w:eastAsia="仿宋_GB2312" w:cs="仿宋_GB2312"/>
          <w:b w:val="0"/>
          <w:bCs/>
          <w:spacing w:val="8"/>
          <w:sz w:val="32"/>
          <w:szCs w:val="32"/>
        </w:rPr>
        <w:t>把整改落实与制度建设紧密结合，不断总结好、运用好整改成果，坚持边整改边建章立制，做到解决一个问题，堵塞一个漏洞，完善一套制度，确保采取的措施能够高效完成，形成的机制能够贯彻落实，取得的成效能够巩固发展，为解决问题、转变作风打牢基础。</w:t>
      </w:r>
    </w:p>
    <w:p w14:paraId="72136C86">
      <w:pPr>
        <w:keepNext w:val="0"/>
        <w:keepLines w:val="0"/>
        <w:pageBreakBefore w:val="0"/>
        <w:widowControl w:val="0"/>
        <w:kinsoku/>
        <w:overflowPunct/>
        <w:topLinePunct w:val="0"/>
        <w:autoSpaceDE/>
        <w:autoSpaceDN/>
        <w:bidi w:val="0"/>
        <w:adjustRightInd/>
        <w:snapToGrid/>
        <w:spacing w:line="550" w:lineRule="exact"/>
        <w:ind w:firstLine="672" w:firstLineChars="200"/>
        <w:textAlignment w:val="auto"/>
        <w:rPr>
          <w:rFonts w:hint="eastAsia" w:ascii="仿宋_GB2312" w:hAnsi="仿宋_GB2312" w:eastAsia="仿宋_GB2312" w:cs="仿宋_GB2312"/>
          <w:b w:val="0"/>
          <w:bCs/>
          <w:spacing w:val="8"/>
          <w:sz w:val="32"/>
          <w:szCs w:val="32"/>
        </w:rPr>
      </w:pPr>
      <w:r>
        <w:rPr>
          <w:rFonts w:hint="eastAsia" w:ascii="仿宋_GB2312" w:hAnsi="仿宋_GB2312" w:eastAsia="仿宋_GB2312" w:cs="仿宋_GB2312"/>
          <w:b w:val="0"/>
          <w:bCs/>
          <w:spacing w:val="8"/>
          <w:sz w:val="32"/>
          <w:szCs w:val="32"/>
        </w:rPr>
        <w:t>欢迎广大干部群众对巡察整改落实情况进行监督。如有意见建议反馈，请及时向中共长春市双阳区委巡察问题整改督导组反映。联系电话：0431－84229008；举报邮政信箱地址：长春市双阳区A082号信箱；邮编130600；电子邮箱：syxczgwtddz@126.com。</w:t>
      </w:r>
    </w:p>
    <w:p w14:paraId="071A3410">
      <w:pPr>
        <w:keepNext w:val="0"/>
        <w:keepLines w:val="0"/>
        <w:pageBreakBefore w:val="0"/>
        <w:widowControl w:val="0"/>
        <w:kinsoku/>
        <w:wordWrap w:val="0"/>
        <w:overflowPunct/>
        <w:topLinePunct w:val="0"/>
        <w:autoSpaceDE/>
        <w:autoSpaceDN/>
        <w:bidi w:val="0"/>
        <w:adjustRightInd/>
        <w:snapToGrid/>
        <w:spacing w:line="550" w:lineRule="exact"/>
        <w:ind w:firstLine="672" w:firstLineChars="200"/>
        <w:jc w:val="right"/>
        <w:textAlignment w:val="auto"/>
        <w:rPr>
          <w:rFonts w:hint="eastAsia" w:ascii="仿宋_GB2312" w:hAnsi="仿宋_GB2312" w:eastAsia="仿宋_GB2312" w:cs="仿宋_GB2312"/>
          <w:b w:val="0"/>
          <w:bCs/>
          <w:spacing w:val="8"/>
          <w:sz w:val="32"/>
          <w:szCs w:val="32"/>
        </w:rPr>
      </w:pPr>
    </w:p>
    <w:p w14:paraId="38ABA974">
      <w:pPr>
        <w:keepNext w:val="0"/>
        <w:keepLines w:val="0"/>
        <w:pageBreakBefore w:val="0"/>
        <w:widowControl w:val="0"/>
        <w:kinsoku/>
        <w:wordWrap w:val="0"/>
        <w:overflowPunct/>
        <w:topLinePunct w:val="0"/>
        <w:autoSpaceDE/>
        <w:autoSpaceDN/>
        <w:bidi w:val="0"/>
        <w:adjustRightInd/>
        <w:snapToGrid/>
        <w:spacing w:line="550" w:lineRule="exact"/>
        <w:ind w:firstLine="672" w:firstLineChars="200"/>
        <w:jc w:val="right"/>
        <w:textAlignment w:val="auto"/>
        <w:rPr>
          <w:rFonts w:hint="eastAsia" w:ascii="仿宋_GB2312" w:hAnsi="仿宋_GB2312" w:eastAsia="仿宋_GB2312" w:cs="仿宋_GB2312"/>
          <w:b w:val="0"/>
          <w:bCs/>
          <w:spacing w:val="8"/>
          <w:sz w:val="32"/>
          <w:szCs w:val="32"/>
        </w:rPr>
      </w:pPr>
    </w:p>
    <w:p w14:paraId="3477D291">
      <w:pPr>
        <w:keepNext w:val="0"/>
        <w:keepLines w:val="0"/>
        <w:pageBreakBefore w:val="0"/>
        <w:widowControl w:val="0"/>
        <w:kinsoku/>
        <w:wordWrap w:val="0"/>
        <w:overflowPunct/>
        <w:topLinePunct w:val="0"/>
        <w:autoSpaceDE/>
        <w:autoSpaceDN/>
        <w:bidi w:val="0"/>
        <w:adjustRightInd/>
        <w:snapToGrid/>
        <w:spacing w:line="550" w:lineRule="exact"/>
        <w:ind w:firstLine="672" w:firstLineChars="200"/>
        <w:jc w:val="right"/>
        <w:textAlignment w:val="auto"/>
        <w:rPr>
          <w:rFonts w:hint="eastAsia" w:ascii="仿宋_GB2312" w:hAnsi="仿宋_GB2312" w:eastAsia="仿宋_GB2312" w:cs="仿宋_GB2312"/>
          <w:b w:val="0"/>
          <w:bCs/>
          <w:spacing w:val="8"/>
          <w:sz w:val="32"/>
          <w:szCs w:val="32"/>
        </w:rPr>
      </w:pPr>
      <w:r>
        <w:rPr>
          <w:rFonts w:hint="eastAsia" w:ascii="仿宋_GB2312" w:hAnsi="仿宋_GB2312" w:eastAsia="仿宋_GB2312" w:cs="仿宋_GB2312"/>
          <w:b w:val="0"/>
          <w:bCs/>
          <w:spacing w:val="8"/>
          <w:sz w:val="32"/>
          <w:szCs w:val="32"/>
        </w:rPr>
        <w:t>中共</w:t>
      </w:r>
      <w:r>
        <w:rPr>
          <w:rFonts w:hint="eastAsia" w:ascii="仿宋_GB2312" w:hAnsi="仿宋_GB2312" w:eastAsia="仿宋_GB2312" w:cs="仿宋_GB2312"/>
          <w:b w:val="0"/>
          <w:bCs/>
          <w:spacing w:val="8"/>
          <w:sz w:val="32"/>
          <w:szCs w:val="32"/>
          <w:lang w:val="en-US" w:eastAsia="zh-CN"/>
        </w:rPr>
        <w:t>长春市双阳区平湖街道工作</w:t>
      </w:r>
      <w:r>
        <w:rPr>
          <w:rFonts w:hint="eastAsia" w:ascii="仿宋_GB2312" w:hAnsi="仿宋_GB2312" w:eastAsia="仿宋_GB2312" w:cs="仿宋_GB2312"/>
          <w:b w:val="0"/>
          <w:bCs/>
          <w:spacing w:val="8"/>
          <w:sz w:val="32"/>
          <w:szCs w:val="32"/>
        </w:rPr>
        <w:t xml:space="preserve">委员会    </w:t>
      </w:r>
    </w:p>
    <w:p w14:paraId="4FE080F8">
      <w:pPr>
        <w:keepNext w:val="0"/>
        <w:keepLines w:val="0"/>
        <w:pageBreakBefore w:val="0"/>
        <w:widowControl w:val="0"/>
        <w:kinsoku/>
        <w:wordWrap w:val="0"/>
        <w:overflowPunct/>
        <w:topLinePunct w:val="0"/>
        <w:autoSpaceDE/>
        <w:autoSpaceDN/>
        <w:bidi w:val="0"/>
        <w:adjustRightInd/>
        <w:snapToGrid/>
        <w:spacing w:line="550" w:lineRule="exact"/>
        <w:ind w:firstLine="672" w:firstLineChars="200"/>
        <w:jc w:val="right"/>
        <w:textAlignment w:val="auto"/>
        <w:rPr>
          <w:rFonts w:hint="eastAsia" w:ascii="方正黑体_GBK" w:eastAsia="方正黑体_GBK"/>
          <w:b/>
          <w:color w:val="000000"/>
          <w:spacing w:val="8"/>
          <w:sz w:val="32"/>
          <w:szCs w:val="32"/>
        </w:rPr>
      </w:pPr>
      <w:r>
        <w:rPr>
          <w:rFonts w:hint="eastAsia" w:ascii="仿宋_GB2312" w:hAnsi="仿宋_GB2312" w:eastAsia="仿宋_GB2312" w:cs="仿宋_GB2312"/>
          <w:b w:val="0"/>
          <w:bCs/>
          <w:spacing w:val="8"/>
          <w:sz w:val="32"/>
          <w:szCs w:val="32"/>
        </w:rPr>
        <w:t xml:space="preserve">               </w:t>
      </w:r>
      <w:r>
        <w:rPr>
          <w:rFonts w:hint="eastAsia" w:ascii="仿宋_GB2312" w:hAnsi="仿宋_GB2312" w:eastAsia="仿宋_GB2312" w:cs="仿宋_GB2312"/>
          <w:b w:val="0"/>
          <w:bCs/>
          <w:spacing w:val="8"/>
          <w:sz w:val="32"/>
          <w:szCs w:val="32"/>
          <w:lang w:val="en-US" w:eastAsia="zh-CN"/>
        </w:rPr>
        <w:t>2025</w:t>
      </w:r>
      <w:r>
        <w:rPr>
          <w:rFonts w:hint="eastAsia" w:ascii="仿宋_GB2312" w:hAnsi="仿宋_GB2312" w:eastAsia="仿宋_GB2312" w:cs="仿宋_GB2312"/>
          <w:b w:val="0"/>
          <w:bCs/>
          <w:spacing w:val="8"/>
          <w:sz w:val="32"/>
          <w:szCs w:val="32"/>
        </w:rPr>
        <w:t>年</w:t>
      </w:r>
      <w:r>
        <w:rPr>
          <w:rFonts w:hint="eastAsia" w:ascii="仿宋_GB2312" w:hAnsi="仿宋_GB2312" w:eastAsia="仿宋_GB2312" w:cs="仿宋_GB2312"/>
          <w:b w:val="0"/>
          <w:bCs/>
          <w:spacing w:val="8"/>
          <w:sz w:val="32"/>
          <w:szCs w:val="32"/>
          <w:lang w:val="en-US" w:eastAsia="zh-CN"/>
        </w:rPr>
        <w:t>9</w:t>
      </w:r>
      <w:r>
        <w:rPr>
          <w:rFonts w:hint="eastAsia" w:ascii="仿宋_GB2312" w:hAnsi="仿宋_GB2312" w:eastAsia="仿宋_GB2312" w:cs="仿宋_GB2312"/>
          <w:b w:val="0"/>
          <w:bCs/>
          <w:spacing w:val="8"/>
          <w:sz w:val="32"/>
          <w:szCs w:val="32"/>
        </w:rPr>
        <w:t>月</w:t>
      </w:r>
      <w:r>
        <w:rPr>
          <w:rFonts w:hint="eastAsia" w:ascii="仿宋_GB2312" w:hAnsi="仿宋_GB2312" w:eastAsia="仿宋_GB2312" w:cs="仿宋_GB2312"/>
          <w:b w:val="0"/>
          <w:bCs/>
          <w:spacing w:val="8"/>
          <w:sz w:val="32"/>
          <w:szCs w:val="32"/>
          <w:lang w:val="en-US" w:eastAsia="zh-CN"/>
        </w:rPr>
        <w:t>19</w:t>
      </w:r>
      <w:r>
        <w:rPr>
          <w:rFonts w:hint="eastAsia" w:ascii="仿宋_GB2312" w:hAnsi="仿宋_GB2312" w:eastAsia="仿宋_GB2312" w:cs="仿宋_GB2312"/>
          <w:b w:val="0"/>
          <w:bCs/>
          <w:spacing w:val="8"/>
          <w:sz w:val="32"/>
          <w:szCs w:val="32"/>
        </w:rPr>
        <w:t xml:space="preserve">日    </w:t>
      </w:r>
      <w:r>
        <w:rPr>
          <w:rFonts w:hint="eastAsia" w:ascii="方正仿宋_GBK" w:hAnsi="华文仿宋" w:eastAsia="方正仿宋_GBK"/>
          <w:b/>
          <w:spacing w:val="8"/>
          <w:sz w:val="32"/>
          <w:szCs w:val="32"/>
        </w:rPr>
        <w:t xml:space="preserve">  </w:t>
      </w:r>
      <w:r>
        <w:rPr>
          <w:rFonts w:ascii="方正仿宋_GBK" w:hAnsi="华文仿宋" w:eastAsia="方正仿宋_GBK"/>
          <w:b/>
          <w:spacing w:val="8"/>
          <w:sz w:val="32"/>
          <w:szCs w:val="32"/>
        </w:rPr>
        <w:t xml:space="preserve">   </w:t>
      </w:r>
    </w:p>
    <w:sectPr>
      <w:headerReference r:id="rId5" w:type="default"/>
      <w:footerReference r:id="rId6" w:type="default"/>
      <w:pgSz w:w="11906" w:h="16838"/>
      <w:pgMar w:top="2155" w:right="1531" w:bottom="1871" w:left="1531" w:header="851" w:footer="1418"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95E7F0-51CD-406C-8EC7-BD0B2DDFF0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2BF601D-0D56-460A-98D0-206E4C25C4A4}"/>
  </w:font>
  <w:font w:name="方正仿宋_GBK">
    <w:panose1 w:val="03000509000000000000"/>
    <w:charset w:val="86"/>
    <w:family w:val="script"/>
    <w:pitch w:val="default"/>
    <w:sig w:usb0="00000001" w:usb1="080E0000" w:usb2="00000000" w:usb3="00000000" w:csb0="00040000" w:csb1="00000000"/>
    <w:embedRegular r:id="rId3" w:fontKey="{01D394C7-6A6C-42CC-B458-755D93D70DED}"/>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embedRegular r:id="rId4" w:fontKey="{45F1B776-6D98-4BED-B8E3-00448B3D0A4D}"/>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embedRegular r:id="rId5" w:fontKey="{85CDE37E-3185-4BFA-BF2D-5BACC754D72C}"/>
  </w:font>
  <w:font w:name="方正小标宋简体">
    <w:panose1 w:val="03000509000000000000"/>
    <w:charset w:val="86"/>
    <w:family w:val="auto"/>
    <w:pitch w:val="default"/>
    <w:sig w:usb0="00000001" w:usb1="080E0000" w:usb2="00000000" w:usb3="00000000" w:csb0="00040000" w:csb1="00000000"/>
    <w:embedRegular r:id="rId6" w:fontKey="{A3F296E0-EBDD-4C5A-8090-8DD12E9626AC}"/>
  </w:font>
  <w:font w:name="仿宋_GB2312">
    <w:panose1 w:val="02010609030101010101"/>
    <w:charset w:val="86"/>
    <w:family w:val="modern"/>
    <w:pitch w:val="default"/>
    <w:sig w:usb0="00000001" w:usb1="080E0000" w:usb2="00000000" w:usb3="00000000" w:csb0="00040000" w:csb1="00000000"/>
    <w:embedRegular r:id="rId7" w:fontKey="{69075571-AFE3-4AE0-9E29-D634055F6E56}"/>
  </w:font>
  <w:font w:name="楷体_GB2312">
    <w:panose1 w:val="02010609030101010101"/>
    <w:charset w:val="86"/>
    <w:family w:val="modern"/>
    <w:pitch w:val="default"/>
    <w:sig w:usb0="00000001" w:usb1="080E0000" w:usb2="00000000" w:usb3="00000000" w:csb0="00040000" w:csb1="00000000"/>
    <w:embedRegular r:id="rId8" w:fontKey="{49369885-4241-472D-A787-B57C912F2951}"/>
  </w:font>
  <w:font w:name="华文仿宋">
    <w:panose1 w:val="02010600040101010101"/>
    <w:charset w:val="86"/>
    <w:family w:val="auto"/>
    <w:pitch w:val="default"/>
    <w:sig w:usb0="00000287" w:usb1="080F0000" w:usb2="00000000" w:usb3="00000000" w:csb0="0004009F" w:csb1="DFD70000"/>
    <w:embedRegular r:id="rId9" w:fontKey="{858F8BA8-496B-4C7C-867C-CF27C8E063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1468">
    <w:pPr>
      <w:pStyle w:val="10"/>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97C2E">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9E97C2E">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2E561">
    <w:pPr>
      <w:pStyle w:val="11"/>
      <w:pBdr>
        <w:bottom w:val="none" w:color="auto" w:sz="0" w:space="0"/>
      </w:pBdr>
      <w:ind w:firstLine="39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2YTdmZjYxMzNlMmFjYTRmMDEzZjU0MTY4OTI4OWQifQ=="/>
  </w:docVars>
  <w:rsids>
    <w:rsidRoot w:val="003407E1"/>
    <w:rsid w:val="00084EBA"/>
    <w:rsid w:val="0018348E"/>
    <w:rsid w:val="003407E1"/>
    <w:rsid w:val="004A2735"/>
    <w:rsid w:val="004B3FC9"/>
    <w:rsid w:val="00585E0B"/>
    <w:rsid w:val="006B66A7"/>
    <w:rsid w:val="008016D7"/>
    <w:rsid w:val="00983571"/>
    <w:rsid w:val="00B02A26"/>
    <w:rsid w:val="00BF5E4E"/>
    <w:rsid w:val="00C73649"/>
    <w:rsid w:val="00DD6F26"/>
    <w:rsid w:val="00E0767F"/>
    <w:rsid w:val="00ED3835"/>
    <w:rsid w:val="00ED668E"/>
    <w:rsid w:val="00F348B5"/>
    <w:rsid w:val="02D77200"/>
    <w:rsid w:val="02EA4873"/>
    <w:rsid w:val="039F6F33"/>
    <w:rsid w:val="04CB735A"/>
    <w:rsid w:val="06D54C74"/>
    <w:rsid w:val="06DD5AD8"/>
    <w:rsid w:val="08B1373D"/>
    <w:rsid w:val="094F1334"/>
    <w:rsid w:val="0A165F4E"/>
    <w:rsid w:val="0ABD1C25"/>
    <w:rsid w:val="0C31628E"/>
    <w:rsid w:val="10D24E1A"/>
    <w:rsid w:val="12254C30"/>
    <w:rsid w:val="14E85633"/>
    <w:rsid w:val="14E86739"/>
    <w:rsid w:val="14EF5D19"/>
    <w:rsid w:val="16261A78"/>
    <w:rsid w:val="16A05313"/>
    <w:rsid w:val="1AB44F77"/>
    <w:rsid w:val="1B116A1E"/>
    <w:rsid w:val="1B245FF1"/>
    <w:rsid w:val="1BD850D4"/>
    <w:rsid w:val="1C826B10"/>
    <w:rsid w:val="1D264A9C"/>
    <w:rsid w:val="1DFA0397"/>
    <w:rsid w:val="1E0345E3"/>
    <w:rsid w:val="1FBB192B"/>
    <w:rsid w:val="220A32C0"/>
    <w:rsid w:val="240510B5"/>
    <w:rsid w:val="24724271"/>
    <w:rsid w:val="26D43AA3"/>
    <w:rsid w:val="27070CA1"/>
    <w:rsid w:val="28346BC4"/>
    <w:rsid w:val="2940493E"/>
    <w:rsid w:val="2ACE4994"/>
    <w:rsid w:val="2CA24BB3"/>
    <w:rsid w:val="2CEC471C"/>
    <w:rsid w:val="2CEF46B1"/>
    <w:rsid w:val="2E162111"/>
    <w:rsid w:val="311A5A74"/>
    <w:rsid w:val="316B6058"/>
    <w:rsid w:val="32AA5162"/>
    <w:rsid w:val="363B2715"/>
    <w:rsid w:val="36662949"/>
    <w:rsid w:val="36FE1994"/>
    <w:rsid w:val="381C44B3"/>
    <w:rsid w:val="39085592"/>
    <w:rsid w:val="391D25A6"/>
    <w:rsid w:val="3A437DEA"/>
    <w:rsid w:val="3BB52F69"/>
    <w:rsid w:val="3CB7348D"/>
    <w:rsid w:val="3DDB0F69"/>
    <w:rsid w:val="3F903D44"/>
    <w:rsid w:val="41842500"/>
    <w:rsid w:val="41B4150B"/>
    <w:rsid w:val="42DC702D"/>
    <w:rsid w:val="445E725E"/>
    <w:rsid w:val="46987737"/>
    <w:rsid w:val="47E7666E"/>
    <w:rsid w:val="4A952667"/>
    <w:rsid w:val="4AD71E64"/>
    <w:rsid w:val="4AE237B0"/>
    <w:rsid w:val="4DCF1002"/>
    <w:rsid w:val="4E7F5804"/>
    <w:rsid w:val="4FC96B8B"/>
    <w:rsid w:val="511F7A3D"/>
    <w:rsid w:val="54A454D1"/>
    <w:rsid w:val="55077CD8"/>
    <w:rsid w:val="55A63A06"/>
    <w:rsid w:val="55CA7B84"/>
    <w:rsid w:val="56677DB5"/>
    <w:rsid w:val="57392849"/>
    <w:rsid w:val="580F7106"/>
    <w:rsid w:val="58645D91"/>
    <w:rsid w:val="58672F6A"/>
    <w:rsid w:val="5A386E91"/>
    <w:rsid w:val="5C407FD3"/>
    <w:rsid w:val="5D6972B8"/>
    <w:rsid w:val="5E2751A9"/>
    <w:rsid w:val="5E5835B4"/>
    <w:rsid w:val="5FC15189"/>
    <w:rsid w:val="60B548AC"/>
    <w:rsid w:val="670A07B0"/>
    <w:rsid w:val="67F56318"/>
    <w:rsid w:val="69D02B99"/>
    <w:rsid w:val="6BAF65D0"/>
    <w:rsid w:val="6BFD579B"/>
    <w:rsid w:val="6D400035"/>
    <w:rsid w:val="6EE13152"/>
    <w:rsid w:val="6FB940CF"/>
    <w:rsid w:val="6FF06D6E"/>
    <w:rsid w:val="70DF7B65"/>
    <w:rsid w:val="74C6497E"/>
    <w:rsid w:val="7716477B"/>
    <w:rsid w:val="783827EE"/>
    <w:rsid w:val="7885679E"/>
    <w:rsid w:val="79E87A8A"/>
    <w:rsid w:val="7A664367"/>
    <w:rsid w:val="7AD63190"/>
    <w:rsid w:val="7B042529"/>
    <w:rsid w:val="7E9D3653"/>
    <w:rsid w:val="7F5B6717"/>
    <w:rsid w:val="7F6F3C5A"/>
    <w:rsid w:val="7FDE1927"/>
    <w:rsid w:val="7FF67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仿宋_GBK" w:hAnsiTheme="minorHAnsi"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imes New Roman" w:hAnsi="Times New Roman" w:eastAsia="宋体" w:cs="Times New Roman"/>
      <w:spacing w:val="0"/>
      <w:kern w:val="2"/>
      <w:sz w:val="21"/>
      <w:szCs w:val="22"/>
      <w:lang w:val="en-US" w:eastAsia="zh-CN" w:bidi="ar-SA"/>
    </w:rPr>
  </w:style>
  <w:style w:type="paragraph" w:styleId="2">
    <w:name w:val="heading 1"/>
    <w:basedOn w:val="1"/>
    <w:next w:val="1"/>
    <w:link w:val="24"/>
    <w:qFormat/>
    <w:uiPriority w:val="0"/>
    <w:pPr>
      <w:jc w:val="center"/>
      <w:outlineLvl w:val="0"/>
    </w:pPr>
    <w:rPr>
      <w:rFonts w:ascii="方正小标宋_GBK" w:eastAsia="方正小标宋_GBK"/>
      <w:bCs/>
      <w:kern w:val="44"/>
      <w:sz w:val="44"/>
      <w:szCs w:val="44"/>
    </w:rPr>
  </w:style>
  <w:style w:type="paragraph" w:styleId="3">
    <w:name w:val="heading 2"/>
    <w:basedOn w:val="1"/>
    <w:next w:val="1"/>
    <w:link w:val="23"/>
    <w:unhideWhenUsed/>
    <w:qFormat/>
    <w:uiPriority w:val="0"/>
    <w:pPr>
      <w:outlineLvl w:val="1"/>
    </w:pPr>
    <w:rPr>
      <w:rFonts w:ascii="方正黑体_GBK" w:eastAsia="方正黑体_GBK" w:hAnsiTheme="majorHAnsi" w:cstheme="majorBidi"/>
      <w:bCs/>
      <w:szCs w:val="32"/>
    </w:rPr>
  </w:style>
  <w:style w:type="paragraph" w:styleId="4">
    <w:name w:val="heading 3"/>
    <w:next w:val="1"/>
    <w:link w:val="28"/>
    <w:qFormat/>
    <w:uiPriority w:val="0"/>
    <w:pPr>
      <w:keepNext/>
      <w:keepLines/>
      <w:widowControl w:val="0"/>
      <w:spacing w:line="580" w:lineRule="exact"/>
      <w:ind w:firstLine="672" w:firstLineChars="200"/>
      <w:jc w:val="both"/>
      <w:outlineLvl w:val="2"/>
    </w:pPr>
    <w:rPr>
      <w:rFonts w:ascii="方正楷体_GBK" w:hAnsi="方正楷体_GBK" w:eastAsia="方正楷体_GBK" w:cs="方正楷体_GBK"/>
      <w:b/>
      <w:bCs/>
      <w:spacing w:val="6"/>
      <w:kern w:val="2"/>
      <w:sz w:val="32"/>
      <w:szCs w:val="32"/>
      <w:lang w:val="en-US" w:eastAsia="zh-CN" w:bidi="ar-SA"/>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rFonts w:ascii="Calibri" w:hAnsi="Calibri"/>
    </w:rPr>
  </w:style>
  <w:style w:type="paragraph" w:styleId="6">
    <w:name w:val="annotation text"/>
    <w:basedOn w:val="1"/>
    <w:link w:val="32"/>
    <w:autoRedefine/>
    <w:semiHidden/>
    <w:unhideWhenUsed/>
    <w:qFormat/>
    <w:uiPriority w:val="99"/>
    <w:pPr>
      <w:jc w:val="left"/>
    </w:pPr>
  </w:style>
  <w:style w:type="paragraph" w:styleId="7">
    <w:name w:val="Body Text Indent"/>
    <w:basedOn w:val="1"/>
    <w:semiHidden/>
    <w:unhideWhenUsed/>
    <w:qFormat/>
    <w:uiPriority w:val="99"/>
    <w:pPr>
      <w:spacing w:after="120"/>
      <w:ind w:left="420" w:leftChars="200"/>
    </w:pPr>
  </w:style>
  <w:style w:type="paragraph" w:styleId="8">
    <w:name w:val="Date"/>
    <w:basedOn w:val="1"/>
    <w:next w:val="1"/>
    <w:link w:val="29"/>
    <w:autoRedefine/>
    <w:unhideWhenUsed/>
    <w:qFormat/>
    <w:uiPriority w:val="99"/>
    <w:pPr>
      <w:ind w:left="100" w:leftChars="2500"/>
    </w:pPr>
  </w:style>
  <w:style w:type="paragraph" w:styleId="9">
    <w:name w:val="Balloon Text"/>
    <w:basedOn w:val="1"/>
    <w:link w:val="34"/>
    <w:autoRedefine/>
    <w:semiHidden/>
    <w:unhideWhenUsed/>
    <w:qFormat/>
    <w:uiPriority w:val="99"/>
    <w:rPr>
      <w:sz w:val="18"/>
      <w:szCs w:val="18"/>
    </w:rPr>
  </w:style>
  <w:style w:type="paragraph" w:styleId="10">
    <w:name w:val="footer"/>
    <w:basedOn w:val="1"/>
    <w:next w:val="1"/>
    <w:link w:val="27"/>
    <w:autoRedefine/>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26"/>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Subtitle"/>
    <w:basedOn w:val="1"/>
    <w:link w:val="30"/>
    <w:autoRedefine/>
    <w:qFormat/>
    <w:uiPriority w:val="0"/>
    <w:pPr>
      <w:spacing w:before="240" w:after="60" w:line="312" w:lineRule="auto"/>
      <w:jc w:val="center"/>
      <w:outlineLvl w:val="1"/>
    </w:pPr>
    <w:rPr>
      <w:rFonts w:ascii="Arial" w:hAnsi="Arial"/>
      <w:b/>
      <w:kern w:val="28"/>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25"/>
    <w:autoRedefine/>
    <w:qFormat/>
    <w:uiPriority w:val="10"/>
    <w:pPr>
      <w:outlineLvl w:val="2"/>
    </w:pPr>
    <w:rPr>
      <w:rFonts w:ascii="方正楷体_GBK" w:eastAsia="方正楷体_GBK" w:hAnsiTheme="majorHAnsi" w:cstheme="majorBidi"/>
      <w:bCs/>
      <w:szCs w:val="32"/>
    </w:rPr>
  </w:style>
  <w:style w:type="paragraph" w:styleId="15">
    <w:name w:val="annotation subject"/>
    <w:basedOn w:val="6"/>
    <w:next w:val="6"/>
    <w:link w:val="33"/>
    <w:autoRedefine/>
    <w:semiHidden/>
    <w:unhideWhenUsed/>
    <w:qFormat/>
    <w:uiPriority w:val="99"/>
    <w:rPr>
      <w:b/>
      <w:bCs/>
    </w:rPr>
  </w:style>
  <w:style w:type="paragraph" w:styleId="16">
    <w:name w:val="Body Text First Indent 2"/>
    <w:basedOn w:val="7"/>
    <w:qFormat/>
    <w:uiPriority w:val="0"/>
    <w:pPr>
      <w:ind w:firstLine="420" w:firstLineChars="200"/>
    </w:pPr>
    <w:rPr>
      <w:szCs w:val="24"/>
    </w:rPr>
  </w:style>
  <w:style w:type="table" w:styleId="18">
    <w:name w:val="Table Grid"/>
    <w:basedOn w:val="17"/>
    <w:autoRedefine/>
    <w:qFormat/>
    <w:uiPriority w:val="0"/>
    <w:pPr>
      <w:widowControl w:val="0"/>
      <w:spacing w:line="240" w:lineRule="auto"/>
      <w:ind w:firstLine="0" w:firstLineChars="0"/>
    </w:pPr>
    <w:rPr>
      <w:rFonts w:ascii="Times New Roman" w:hAnsi="Times New Roman" w:eastAsia="宋体" w:cs="Times New Roman"/>
      <w:spacing w:val="0"/>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0"/>
    <w:rPr>
      <w:b/>
    </w:rPr>
  </w:style>
  <w:style w:type="character" w:styleId="21">
    <w:name w:val="page number"/>
    <w:basedOn w:val="19"/>
    <w:autoRedefine/>
    <w:qFormat/>
    <w:uiPriority w:val="0"/>
  </w:style>
  <w:style w:type="character" w:styleId="22">
    <w:name w:val="annotation reference"/>
    <w:basedOn w:val="19"/>
    <w:autoRedefine/>
    <w:semiHidden/>
    <w:unhideWhenUsed/>
    <w:qFormat/>
    <w:uiPriority w:val="99"/>
    <w:rPr>
      <w:sz w:val="21"/>
      <w:szCs w:val="21"/>
    </w:rPr>
  </w:style>
  <w:style w:type="character" w:customStyle="1" w:styleId="23">
    <w:name w:val="标题 2 字符"/>
    <w:basedOn w:val="19"/>
    <w:link w:val="3"/>
    <w:autoRedefine/>
    <w:semiHidden/>
    <w:qFormat/>
    <w:uiPriority w:val="9"/>
    <w:rPr>
      <w:rFonts w:ascii="方正黑体_GBK" w:eastAsia="方正黑体_GBK" w:hAnsiTheme="majorHAnsi" w:cstheme="majorBidi"/>
      <w:bCs/>
      <w:szCs w:val="32"/>
    </w:rPr>
  </w:style>
  <w:style w:type="character" w:customStyle="1" w:styleId="24">
    <w:name w:val="标题 1 字符"/>
    <w:basedOn w:val="19"/>
    <w:link w:val="2"/>
    <w:autoRedefine/>
    <w:qFormat/>
    <w:uiPriority w:val="9"/>
    <w:rPr>
      <w:rFonts w:ascii="方正小标宋_GBK" w:eastAsia="方正小标宋_GBK"/>
      <w:bCs/>
      <w:kern w:val="44"/>
      <w:sz w:val="44"/>
      <w:szCs w:val="44"/>
    </w:rPr>
  </w:style>
  <w:style w:type="character" w:customStyle="1" w:styleId="25">
    <w:name w:val="标题 字符"/>
    <w:basedOn w:val="19"/>
    <w:link w:val="14"/>
    <w:autoRedefine/>
    <w:qFormat/>
    <w:uiPriority w:val="10"/>
    <w:rPr>
      <w:rFonts w:ascii="方正楷体_GBK" w:eastAsia="方正楷体_GBK" w:hAnsiTheme="majorHAnsi" w:cstheme="majorBidi"/>
      <w:bCs/>
      <w:szCs w:val="32"/>
    </w:rPr>
  </w:style>
  <w:style w:type="character" w:customStyle="1" w:styleId="26">
    <w:name w:val="页眉 字符"/>
    <w:basedOn w:val="19"/>
    <w:link w:val="11"/>
    <w:autoRedefine/>
    <w:qFormat/>
    <w:uiPriority w:val="99"/>
    <w:rPr>
      <w:sz w:val="18"/>
      <w:szCs w:val="18"/>
    </w:rPr>
  </w:style>
  <w:style w:type="character" w:customStyle="1" w:styleId="27">
    <w:name w:val="页脚 字符"/>
    <w:basedOn w:val="19"/>
    <w:link w:val="10"/>
    <w:autoRedefine/>
    <w:qFormat/>
    <w:uiPriority w:val="99"/>
    <w:rPr>
      <w:sz w:val="18"/>
      <w:szCs w:val="18"/>
    </w:rPr>
  </w:style>
  <w:style w:type="character" w:customStyle="1" w:styleId="28">
    <w:name w:val="标题 3 字符"/>
    <w:basedOn w:val="19"/>
    <w:link w:val="4"/>
    <w:autoRedefine/>
    <w:qFormat/>
    <w:uiPriority w:val="0"/>
    <w:rPr>
      <w:rFonts w:ascii="方正楷体_GBK" w:hAnsi="方正楷体_GBK" w:eastAsia="方正楷体_GBK" w:cs="方正楷体_GBK"/>
      <w:bCs/>
      <w:spacing w:val="6"/>
      <w:szCs w:val="32"/>
    </w:rPr>
  </w:style>
  <w:style w:type="character" w:customStyle="1" w:styleId="29">
    <w:name w:val="日期 字符"/>
    <w:basedOn w:val="19"/>
    <w:link w:val="8"/>
    <w:autoRedefine/>
    <w:qFormat/>
    <w:uiPriority w:val="99"/>
    <w:rPr>
      <w:rFonts w:ascii="Times New Roman" w:hAnsi="Times New Roman" w:eastAsia="宋体" w:cs="Times New Roman"/>
      <w:spacing w:val="0"/>
      <w:sz w:val="21"/>
    </w:rPr>
  </w:style>
  <w:style w:type="character" w:customStyle="1" w:styleId="30">
    <w:name w:val="副标题 字符"/>
    <w:basedOn w:val="19"/>
    <w:link w:val="12"/>
    <w:autoRedefine/>
    <w:qFormat/>
    <w:uiPriority w:val="0"/>
    <w:rPr>
      <w:rFonts w:ascii="Arial" w:hAnsi="Arial" w:eastAsia="宋体" w:cs="Times New Roman"/>
      <w:spacing w:val="0"/>
      <w:kern w:val="28"/>
      <w:sz w:val="21"/>
    </w:rPr>
  </w:style>
  <w:style w:type="paragraph" w:customStyle="1" w:styleId="31">
    <w:name w:val="正文缩进1"/>
    <w:autoRedefine/>
    <w:qFormat/>
    <w:uiPriority w:val="0"/>
    <w:pPr>
      <w:widowControl w:val="0"/>
      <w:spacing w:line="580" w:lineRule="exact"/>
      <w:ind w:firstLine="720" w:firstLineChars="200"/>
      <w:jc w:val="both"/>
    </w:pPr>
    <w:rPr>
      <w:rFonts w:ascii="Calibri" w:hAnsi="Calibri" w:eastAsia="方正仿宋_GBK" w:cs="方正仿宋_GBK"/>
      <w:b/>
      <w:bCs/>
      <w:spacing w:val="8"/>
      <w:kern w:val="2"/>
      <w:sz w:val="32"/>
      <w:szCs w:val="24"/>
      <w:lang w:val="en-US" w:eastAsia="zh-CN" w:bidi="ar-SA"/>
    </w:rPr>
  </w:style>
  <w:style w:type="character" w:customStyle="1" w:styleId="32">
    <w:name w:val="批注文字 字符"/>
    <w:basedOn w:val="19"/>
    <w:link w:val="6"/>
    <w:autoRedefine/>
    <w:semiHidden/>
    <w:qFormat/>
    <w:uiPriority w:val="99"/>
    <w:rPr>
      <w:rFonts w:ascii="Times New Roman" w:hAnsi="Times New Roman" w:eastAsia="宋体" w:cs="Times New Roman"/>
      <w:spacing w:val="0"/>
      <w:sz w:val="21"/>
    </w:rPr>
  </w:style>
  <w:style w:type="character" w:customStyle="1" w:styleId="33">
    <w:name w:val="批注主题 字符"/>
    <w:basedOn w:val="32"/>
    <w:link w:val="15"/>
    <w:semiHidden/>
    <w:qFormat/>
    <w:uiPriority w:val="99"/>
    <w:rPr>
      <w:rFonts w:ascii="Times New Roman" w:hAnsi="Times New Roman" w:eastAsia="宋体" w:cs="Times New Roman"/>
      <w:b/>
      <w:bCs/>
      <w:spacing w:val="0"/>
      <w:sz w:val="21"/>
    </w:rPr>
  </w:style>
  <w:style w:type="character" w:customStyle="1" w:styleId="34">
    <w:name w:val="批注框文本 字符"/>
    <w:basedOn w:val="19"/>
    <w:link w:val="9"/>
    <w:autoRedefine/>
    <w:semiHidden/>
    <w:qFormat/>
    <w:uiPriority w:val="99"/>
    <w:rPr>
      <w:rFonts w:ascii="Times New Roman" w:hAnsi="Times New Roman" w:eastAsia="宋体" w:cs="Times New Roman"/>
      <w:spacing w:val="0"/>
      <w:sz w:val="18"/>
      <w:szCs w:val="18"/>
    </w:rPr>
  </w:style>
  <w:style w:type="paragraph" w:styleId="35">
    <w:name w:val="List Paragraph"/>
    <w:basedOn w:val="1"/>
    <w:autoRedefine/>
    <w:qFormat/>
    <w:uiPriority w:val="34"/>
    <w:pPr>
      <w:ind w:firstLine="420" w:firstLineChars="200"/>
    </w:pPr>
  </w:style>
  <w:style w:type="paragraph" w:customStyle="1" w:styleId="36">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vad"/>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2831</Words>
  <Characters>2924</Characters>
  <Lines>46</Lines>
  <Paragraphs>12</Paragraphs>
  <TotalTime>12</TotalTime>
  <ScaleCrop>false</ScaleCrop>
  <LinksUpToDate>false</LinksUpToDate>
  <CharactersWithSpaces>2953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2023-10-08T06:06:00Z</dcterms:created>
  <dc:creator>Windows 用户</dc:creator>
  <cp:lastModifiedBy>快刀</cp:lastModifiedBy>
  <cp:lastPrinted>2025-09-10T00:49:00Z</cp:lastPrinted>
  <dcterms:modified xsi:type="dcterms:W3CDTF">2025-09-17T02:49:50Z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3ECE7F9C63CD477A92A6C21018A2C550_13</vt:lpwstr>
  </property>
  <property fmtid="{D5CDD505-2E9C-101B-9397-08002B2CF9AE}" pid="4" name="KSOTemplateDocerSaveRecord">
    <vt:lpwstr>eyJoZGlkIjoiOTFhMjZhMzlmMjNkYTYyMjZmZGNkZmI5YzhkZjM3N2IiLCJ1c2VySWQiOiIyMDExMjU2NDcifQ==</vt:lpwstr>
  </property>
</Properties>
</file>