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52AB7">
      <w:pPr>
        <w:pStyle w:val="2"/>
        <w:jc w:val="left"/>
        <w:rPr>
          <w:rFonts w:ascii="方正公文小标宋" w:eastAsia="方正公文小标宋"/>
          <w:b w:val="0"/>
          <w:sz w:val="84"/>
          <w:szCs w:val="84"/>
          <w:lang w:eastAsia="zh-CN"/>
        </w:rPr>
      </w:pPr>
    </w:p>
    <w:p w14:paraId="22E8775A">
      <w:pPr>
        <w:pStyle w:val="2"/>
        <w:jc w:val="left"/>
        <w:rPr>
          <w:rFonts w:ascii="方正公文小标宋" w:eastAsia="方正公文小标宋"/>
          <w:b w:val="0"/>
          <w:sz w:val="84"/>
          <w:szCs w:val="84"/>
          <w:lang w:eastAsia="zh-CN"/>
        </w:rPr>
      </w:pPr>
    </w:p>
    <w:p w14:paraId="37A59B9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吉林省长春市双阳区人民政府云</w:t>
      </w:r>
    </w:p>
    <w:p w14:paraId="5ED0D9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山街道办事处履行职责事项清单</w:t>
      </w:r>
    </w:p>
    <w:p w14:paraId="5BCDA3C8">
      <w:pPr>
        <w:rPr>
          <w:rFonts w:ascii="方正公文小标宋" w:eastAsia="方正公文小标宋"/>
          <w:sz w:val="84"/>
          <w:szCs w:val="84"/>
          <w:lang w:eastAsia="zh-CN"/>
        </w:rPr>
      </w:pPr>
    </w:p>
    <w:p w14:paraId="47555113">
      <w:pPr>
        <w:rPr>
          <w:rFonts w:ascii="方正公文小标宋" w:eastAsia="方正公文小标宋"/>
          <w:sz w:val="84"/>
          <w:szCs w:val="84"/>
          <w:lang w:eastAsia="zh-CN"/>
        </w:rPr>
      </w:pPr>
    </w:p>
    <w:p w14:paraId="1388945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47786E6">
          <w:pPr>
            <w:pStyle w:val="19"/>
            <w:jc w:val="center"/>
            <w:rPr>
              <w:rFonts w:ascii="Times New Roman" w:hAnsi="Times New Roman" w:eastAsia="方正公文小标宋" w:cs="Times New Roman"/>
              <w:color w:val="auto"/>
              <w:sz w:val="44"/>
              <w:szCs w:val="44"/>
              <w:lang w:val="zh-CN"/>
            </w:rPr>
          </w:pPr>
          <w:bookmarkStart w:id="15" w:name="_GoBack"/>
          <w:bookmarkEnd w:id="15"/>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177F0ED">
          <w:pPr>
            <w:rPr>
              <w:rFonts w:hint="eastAsia" w:eastAsiaTheme="minorEastAsia"/>
              <w:lang w:val="zh-CN" w:eastAsia="zh-CN"/>
            </w:rPr>
          </w:pPr>
        </w:p>
        <w:p w14:paraId="62ABC2A5">
          <w:pPr>
            <w:pStyle w:val="7"/>
            <w:numPr>
              <w:ilvl w:val="0"/>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_Toc10586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_Toc10586 \h </w:instrText>
          </w:r>
          <w:r>
            <w:fldChar w:fldCharType="separate"/>
          </w:r>
          <w:r>
            <w:t>1</w:t>
          </w:r>
          <w:r>
            <w:fldChar w:fldCharType="end"/>
          </w:r>
          <w:r>
            <w:fldChar w:fldCharType="end"/>
          </w:r>
        </w:p>
        <w:p w14:paraId="6ADFAA49">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_Toc16946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_Toc16946 \h </w:instrText>
          </w:r>
          <w:r>
            <w:fldChar w:fldCharType="separate"/>
          </w:r>
          <w:r>
            <w:t>14</w:t>
          </w:r>
          <w:r>
            <w:fldChar w:fldCharType="end"/>
          </w:r>
          <w:r>
            <w:fldChar w:fldCharType="end"/>
          </w:r>
        </w:p>
        <w:p w14:paraId="0E6A6D19">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_Toc22198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_Toc22198 \h </w:instrText>
          </w:r>
          <w:r>
            <w:fldChar w:fldCharType="separate"/>
          </w:r>
          <w:r>
            <w:t>59</w:t>
          </w:r>
          <w:r>
            <w:fldChar w:fldCharType="end"/>
          </w:r>
          <w:r>
            <w:fldChar w:fldCharType="end"/>
          </w:r>
        </w:p>
        <w:p w14:paraId="452591D2">
          <w:pPr>
            <w:rPr>
              <w:rFonts w:cs="Times New Roman"/>
              <w:b/>
              <w:bCs/>
              <w:lang w:val="zh-CN"/>
            </w:rPr>
          </w:pPr>
          <w:r>
            <w:fldChar w:fldCharType="end"/>
          </w:r>
        </w:p>
      </w:sdtContent>
    </w:sdt>
    <w:p w14:paraId="5977100C">
      <w:pPr>
        <w:pStyle w:val="2"/>
        <w:jc w:val="both"/>
        <w:rPr>
          <w:rFonts w:ascii="Times New Roman" w:hAnsi="Times New Roman" w:eastAsia="方正小标宋_GBK" w:cs="Times New Roman"/>
          <w:color w:val="auto"/>
          <w:spacing w:val="7"/>
          <w:sz w:val="44"/>
          <w:szCs w:val="44"/>
          <w:lang w:eastAsia="zh-CN"/>
        </w:rPr>
      </w:pPr>
    </w:p>
    <w:p w14:paraId="4B5834E5">
      <w:pPr>
        <w:jc w:val="both"/>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9EBF38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bookmarkStart w:id="4" w:name="_Toc1058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017CFC7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9CA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280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969D8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7C9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一、党的建设（37项）</w:t>
            </w:r>
          </w:p>
        </w:tc>
      </w:tr>
      <w:tr w14:paraId="459E1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1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50C7C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6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8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124726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73F98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9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298BC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0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6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B39B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EA57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48258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D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4E4B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3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078EB2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3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5266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3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1454D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8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708D5E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3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4C88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6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0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推进辖区党群服务中心规范化建设，提升党务政务服务水平</w:t>
            </w:r>
          </w:p>
        </w:tc>
      </w:tr>
      <w:tr w14:paraId="4D005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4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F971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D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1AD6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DB89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6B255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1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5DB33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A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F436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A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1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5770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1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2263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21B3D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4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17540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E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7D822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0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F5B8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6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5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30CC8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1B8C5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C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F3AB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49330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8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7ADC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F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E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752C8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D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6C88F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A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4050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8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开展“党建+联建”活动，打造精品区域联建项目</w:t>
            </w:r>
          </w:p>
        </w:tc>
      </w:tr>
      <w:tr w14:paraId="33267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A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推进“一社区一品牌、一小区一特色”建设</w:t>
            </w:r>
          </w:p>
        </w:tc>
      </w:tr>
      <w:tr w14:paraId="44794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C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F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打造“早教妇女微家”，做好家教家风宣传</w:t>
            </w:r>
          </w:p>
        </w:tc>
      </w:tr>
      <w:tr w14:paraId="73A823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3FE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C623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8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8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8428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A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9B72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D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F825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8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450A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B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782BE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F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A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57670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D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31F45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做好本级普查调查、统计信息数据管理工作，指导村（社区）开展统计工作</w:t>
            </w:r>
          </w:p>
        </w:tc>
      </w:tr>
      <w:tr w14:paraId="753C94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9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3809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9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58D1A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5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D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4193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0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65CD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1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8B0B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C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028A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F02C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5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9357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3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777EA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62E70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F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B9C1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21135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0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1A085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F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15A39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1E14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3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44D6C0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FD8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27712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A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A30D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9A26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8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15E8C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F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727F6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59F1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29393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0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0AB27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B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5CA4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E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761ED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6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5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8453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B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5BCD1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261D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7C070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D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77B8E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53380B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3B3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636D2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E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3E217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4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123D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0CC0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3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CA78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0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A22F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F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F3FF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1B49E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F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7A37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9C3E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2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802FD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3F2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083A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1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30B41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4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3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01A40D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1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37773C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BF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A1F35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C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44AF5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0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6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加强物业小区管理，指导组建物业管理委员会，督促定期换届并依法履职，负责对辖区物业管理方面居民投诉的受理、协调解决与反馈</w:t>
            </w:r>
          </w:p>
        </w:tc>
      </w:tr>
      <w:tr w14:paraId="672C9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0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14:paraId="7C3CA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6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5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w:t>
            </w:r>
          </w:p>
        </w:tc>
      </w:tr>
      <w:tr w14:paraId="56050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1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做好辖区市容市貌和环境卫生综合治理相关工作，做好辖区居民小区、城中村、背街小巷卫生情况巡查和上报工作</w:t>
            </w:r>
          </w:p>
        </w:tc>
      </w:tr>
      <w:tr w14:paraId="22EB2F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4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E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5B4F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B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5F7D9B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652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5CA63D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A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094F33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2E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253CB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9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A7F9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4EF20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6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6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46D6C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打造“云山社区艺术节”特色文化品牌，持续提升街道文化品质</w:t>
            </w:r>
          </w:p>
        </w:tc>
      </w:tr>
      <w:tr w14:paraId="6F0273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27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029AA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59C81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5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75D953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D3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十一、综合政务（15项）</w:t>
            </w:r>
          </w:p>
        </w:tc>
      </w:tr>
      <w:tr w14:paraId="53B28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8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121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D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1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51B8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C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1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2E7FA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开展保密培训教育，加强涉密人员日常管理，做好保密自查及涉密载体、保密设备管理等工作</w:t>
            </w:r>
          </w:p>
        </w:tc>
      </w:tr>
      <w:tr w14:paraId="6192A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A007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84EAF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93C1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4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B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1275D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w:t>
            </w:r>
            <w:r>
              <w:rPr>
                <w:rFonts w:hint="eastAsia" w:ascii="Times New Roman" w:hAnsi="方正公文仿宋" w:eastAsia="方正公文仿宋"/>
                <w:kern w:val="0"/>
                <w:szCs w:val="21"/>
                <w:lang w:eastAsia="zh-CN" w:bidi="ar"/>
              </w:rPr>
              <w:t>本账</w:t>
            </w:r>
            <w:r>
              <w:rPr>
                <w:rFonts w:hint="eastAsia" w:ascii="Times New Roman" w:hAnsi="方正公文仿宋" w:eastAsia="方正公文仿宋"/>
                <w:kern w:val="0"/>
                <w:szCs w:val="21"/>
                <w:lang w:bidi="ar"/>
              </w:rPr>
              <w:t>户、零余额资金核算以及资产统计报告、财务报告工作</w:t>
            </w:r>
          </w:p>
        </w:tc>
      </w:tr>
      <w:tr w14:paraId="0A121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90F0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5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2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7CF43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1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16F3B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53A1D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C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C225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7AAE456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552"/>
      <w:bookmarkStart w:id="6" w:name="_Toc172077950"/>
      <w:bookmarkStart w:id="7" w:name="_Toc172533653"/>
      <w:bookmarkStart w:id="8" w:name="_Toc172077417"/>
      <w:bookmarkStart w:id="9" w:name="_Toc1694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0C3A1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7DF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61D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89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FE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3D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C1D2C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60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8A5AA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9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E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28CC7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8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E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6614B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5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07EAD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3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32DFE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C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02CA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F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2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786D3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B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A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B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59F00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0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2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2B655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B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3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C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2.做好农家书屋宣传动员工作</w:t>
            </w:r>
          </w:p>
        </w:tc>
      </w:tr>
      <w:tr w14:paraId="11B21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2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D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5971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A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3E92E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A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5ED90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7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E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02AABD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00D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4F5FD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5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6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8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3096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8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C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C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7D1F62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5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1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C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区发展和改革局协调处理辖区油气长输管道保护的重大问题，指导、监督有关单位履行管道保护职责，组织排除管道的重大外部安全隐患；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区应急管理局联合区发改局指导辖区油气长输管道企业开展对标自评和安全风险排查评估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B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协助解决油气长输管道在建设施工、运行维护过程中遇到的矛盾纠纷、管道安全保护等问题</w:t>
            </w:r>
          </w:p>
        </w:tc>
      </w:tr>
      <w:tr w14:paraId="5BB17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4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6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7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3D846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5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1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3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34516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A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3.配合推进辖区内金融服务工作</w:t>
            </w:r>
          </w:p>
        </w:tc>
      </w:tr>
      <w:tr w14:paraId="5B1CE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9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9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512FC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F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5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57034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B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B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2A8EF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6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5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2D104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2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A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E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35C32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8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4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7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5FFEF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7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1F7B1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6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4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0A8AC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B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F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05CEC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9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12C42B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59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4F4E17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1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0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11D8D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7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0F303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39E03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2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3F365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1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0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9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8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3ACB6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3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CD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E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659FD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1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48DA8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2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4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0F759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8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8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5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0EFDB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F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6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C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4.负责对安装完成的冬季清洁取暖设备进行区域验收；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5.负责对居民反映冬季清洁取暖工作所存在的问题进行统计，并及时反馈到区住建局</w:t>
            </w:r>
          </w:p>
        </w:tc>
      </w:tr>
      <w:tr w14:paraId="7EFC3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2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7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D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27202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0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650FC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D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7391F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4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19BC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3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0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8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38626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E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1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9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1379E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1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7DBCEF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D98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01AF9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9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7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70C32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C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5DC8E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72A97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0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2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34C2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8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1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F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22427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7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5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6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3B141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3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0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1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D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2A431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8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7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18EAE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18BA2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7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B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A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63846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C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35ADA9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37E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五、乡村振兴（23项）</w:t>
            </w:r>
          </w:p>
        </w:tc>
      </w:tr>
      <w:tr w14:paraId="6A3CF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8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46DDC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3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3A0C8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1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24590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2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D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5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1ADCA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F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27A97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9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455DF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7ECBCF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C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9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农村供水工程项目规划、设计、组织编制实施方案等前期工作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19112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D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8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4C5FF9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7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C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AE7C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4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4.培育区域农机服务中心和应急作业服务队工作，做好复审认定、汇总上报、择优推荐；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52769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2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4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264BD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2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6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9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66B98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6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6DCF1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4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0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7CDBE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E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C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50CB7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5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2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17344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1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1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E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做好政策传达、宣传推广工作，落实上级下达的地膜推广任务</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59C01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A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F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8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0F1B9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2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F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0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788B1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D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F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588DD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9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1A3BE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B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C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8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41212C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326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70B91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44D6D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A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4C0C44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9A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C647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B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6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B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A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396F6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3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A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3D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7EDFB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8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2322B5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D0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八、自然资源（17项）</w:t>
            </w:r>
          </w:p>
        </w:tc>
      </w:tr>
      <w:tr w14:paraId="088071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7DB71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7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9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426E9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D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06089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5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1ABD6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E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A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7A2F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A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6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32251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A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4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3D4A3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6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6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29651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4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401EC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5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41B9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A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D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22D3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F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D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0229B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4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37A07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2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3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23185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1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7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3.做好林业工作人员“全国林业工作站岗位培训在线平台”学习工作</w:t>
            </w:r>
          </w:p>
        </w:tc>
      </w:tr>
      <w:tr w14:paraId="4959B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3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3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5219D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E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1B87E9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8E7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九、城乡建设（13项）</w:t>
            </w:r>
          </w:p>
        </w:tc>
      </w:tr>
      <w:tr w14:paraId="5582C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2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B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7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7FCF2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D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B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6F556E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4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D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10F8A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6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F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6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34341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5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7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70C2F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0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8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8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26C698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0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0FA91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1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5.建立健全物业服务信用管理体系；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6.建立健全物业管理电子信息平台；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8.对建筑物及其附属设施的维修资金（以下统称专项维修资金）交存、使用情况进行监督管理；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9.组织开展物业管理相关培训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14:paraId="2D66B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3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0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7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1.负责统筹、协调、监督、指导全区老旧小区改造工作；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2.负责老旧小区改造的方案设计、项目实施、质量安全监管、竣工验收等工作；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3.负责指导建立长效管理机制，推动老旧小区实现专业化物业管理或居民自治管理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E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1.负责老旧小区改造的宣传动员、调查摸底和协调处理矛盾纠纷等工作；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2.负责建立健全长效管理机制，落实日常管理与维护工作；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3.协调社区居民委员会，发动居民积极参与改造方案制定、配合施工、参与监督和后续管理、评价和反馈小区改造效果等</w:t>
            </w:r>
          </w:p>
        </w:tc>
      </w:tr>
      <w:tr w14:paraId="30FB1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9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B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C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2A7AEF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5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0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1A224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E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9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3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74C17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D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B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6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3C87F3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71A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5AA3E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3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D670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9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2E1C2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7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A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10DE5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2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3.按照谁设置谁维护的原则，定期维护普通国省干线公路城乡过境段街道自行增设设施，确保道路通行安全</w:t>
            </w:r>
          </w:p>
        </w:tc>
      </w:tr>
      <w:tr w14:paraId="0A3162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6D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0615A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E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1.负责乡镇（街道）文化站、村（社区）文化服务中心工作的检查和管理；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3.指导各乡镇（街道）文化站开展群众文化、体育活动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2.配合区文化体育工作总站指导村（社区）开展文化体育活动</w:t>
            </w:r>
          </w:p>
        </w:tc>
      </w:tr>
      <w:tr w14:paraId="5810F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9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9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41386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2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5D3D1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2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2.组织做好项目实施及验收工作及体育设施的维护和管理工作；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25AD8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3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牵头排查收缴非法卫星接收器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7AB04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4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5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0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40FDA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0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B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3E1F4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6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C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4E0B3A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A10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7806B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2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C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72E85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E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7B53C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8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2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17832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B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1253C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6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A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1EF91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F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0B1F1D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90E1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1864D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D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C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2C43A5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3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4D79D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7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8F085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2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C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3F1B3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C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5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664FD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7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74089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A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w:t>
            </w:r>
            <w:r>
              <w:rPr>
                <w:rFonts w:hint="eastAsia" w:ascii="Times New Roman" w:hAnsi="方正公文仿宋" w:eastAsia="方正公文仿宋"/>
                <w:kern w:val="0"/>
                <w:szCs w:val="21"/>
                <w:lang w:eastAsia="zh-CN" w:bidi="ar"/>
              </w:rPr>
              <w:t>行为</w:t>
            </w:r>
            <w:r>
              <w:rPr>
                <w:rFonts w:hint="eastAsia" w:ascii="Times New Roman" w:hAnsi="方正公文仿宋" w:eastAsia="方正公文仿宋"/>
                <w:kern w:val="0"/>
                <w:szCs w:val="21"/>
                <w:lang w:bidi="ar"/>
              </w:rPr>
              <w:t>，处置危害公共安全的突发事件；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6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0B9B8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F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A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5AB77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4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6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7D1E6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7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C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9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1BB0B9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F4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271FD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5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B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A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4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48D6A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B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5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1FFC9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A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5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211554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0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49BC6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D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6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1.应用吉林省政务服务事项库管理系统，对本街道、村（社区）账号下的政务服务事项基本目录和业务办理项进行动态调整、更新工作；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2.应用吉林省全流程审批系统进行政务服务事项审批，并落实本街道吉林省全流程审批系统的审批事项配置、调整和审批人员、审批权限变更提交需求单等相关工作</w:t>
            </w:r>
          </w:p>
        </w:tc>
      </w:tr>
    </w:tbl>
    <w:p w14:paraId="543F686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553"/>
      <w:bookmarkStart w:id="11" w:name="_Toc172533654"/>
      <w:bookmarkStart w:id="12" w:name="_Toc22198"/>
      <w:bookmarkStart w:id="13" w:name="_Toc172077418"/>
      <w:bookmarkStart w:id="14" w:name="_Toc172077951"/>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1FD440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B09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F9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0C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EDF71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147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1E55D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F4AE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A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3A53F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66CDA8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9B9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25F29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3F96F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B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1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22AC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9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3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4BFA9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7C36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3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AE7E8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87E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24B72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F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5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5E58A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C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8C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E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918C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9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5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F5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0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549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1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0D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4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4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1DEF9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E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F4E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C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46F2D5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DEC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0BB03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C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C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93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1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F65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E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B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550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B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396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1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B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211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B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93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2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E66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5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F65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60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745E5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0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3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5FABF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3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7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965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57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9620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9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5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25F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5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0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8BC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2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12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4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B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694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791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8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2EE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7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819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C8F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E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1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204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4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B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13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5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23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3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8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4B3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5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C8E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7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78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B4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8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584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0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1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4D8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A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D8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0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313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1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3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E2A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D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C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A8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5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8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46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7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B84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1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3CC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1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0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8E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8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0F3E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B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9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7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7CF4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3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9D6A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3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C282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D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321D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3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4F53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B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0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91F3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9D67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A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894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79A4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891F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A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E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9B2D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B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7BD4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5A0D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1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8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B2AC4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B6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七、交通运输（2项）</w:t>
            </w:r>
          </w:p>
        </w:tc>
      </w:tr>
      <w:tr w14:paraId="2544A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D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7E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8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3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822D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F27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0D3A8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4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7512D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9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8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5F132B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40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71BAD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C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055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81B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2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A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85E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C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D56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3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3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F14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B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A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F15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9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C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5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91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01899179">
      <w:pPr>
        <w:pStyle w:val="3"/>
        <w:spacing w:before="0" w:after="0" w:line="240" w:lineRule="auto"/>
        <w:jc w:val="center"/>
        <w:rPr>
          <w:rFonts w:ascii="Times New Roman" w:hAnsi="Times New Roman" w:eastAsia="方正小标宋_GBK" w:cs="Times New Roman"/>
          <w:color w:val="auto"/>
          <w:spacing w:val="7"/>
          <w:lang w:eastAsia="zh-CN"/>
        </w:rPr>
      </w:pPr>
    </w:p>
    <w:p w14:paraId="10F2E47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44F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C1DEC5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C1DEC5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5FD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952515"/>
    <w:rsid w:val="071F1A99"/>
    <w:rsid w:val="0CFE2CC9"/>
    <w:rsid w:val="1A923332"/>
    <w:rsid w:val="30EA2689"/>
    <w:rsid w:val="42B4261F"/>
    <w:rsid w:val="51DC2C27"/>
    <w:rsid w:val="57087F99"/>
    <w:rsid w:val="589B5F61"/>
    <w:rsid w:val="63EA54E1"/>
    <w:rsid w:val="6471391A"/>
    <w:rsid w:val="7E02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48591</Words>
  <Characters>50171</Characters>
  <Lines>1</Lines>
  <Paragraphs>1</Paragraphs>
  <TotalTime>2</TotalTime>
  <ScaleCrop>false</ScaleCrop>
  <LinksUpToDate>false</LinksUpToDate>
  <CharactersWithSpaces>51738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FC9BD01CFBD44BA3AE9AF15EC9690B3E_13</vt:lpwstr>
  </property>
</Properties>
</file>