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F99CB">
      <w:pPr>
        <w:pStyle w:val="2"/>
        <w:jc w:val="left"/>
        <w:rPr>
          <w:rFonts w:ascii="方正公文小标宋" w:eastAsia="方正公文小标宋"/>
          <w:b w:val="0"/>
          <w:sz w:val="84"/>
          <w:szCs w:val="84"/>
          <w:lang w:eastAsia="zh-CN"/>
        </w:rPr>
      </w:pPr>
    </w:p>
    <w:p w14:paraId="18E63B38">
      <w:pPr>
        <w:pStyle w:val="2"/>
        <w:jc w:val="left"/>
        <w:rPr>
          <w:rFonts w:ascii="方正公文小标宋" w:eastAsia="方正公文小标宋"/>
          <w:b w:val="0"/>
          <w:sz w:val="84"/>
          <w:szCs w:val="84"/>
          <w:lang w:eastAsia="zh-CN"/>
        </w:rPr>
      </w:pPr>
    </w:p>
    <w:p w14:paraId="393015D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吉林省长春市双阳区鹿乡镇人民</w:t>
      </w:r>
    </w:p>
    <w:p w14:paraId="29597A6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38C6F968">
      <w:pPr>
        <w:rPr>
          <w:rFonts w:ascii="方正公文小标宋" w:eastAsia="方正公文小标宋"/>
          <w:sz w:val="84"/>
          <w:szCs w:val="84"/>
          <w:lang w:eastAsia="zh-CN"/>
        </w:rPr>
      </w:pPr>
    </w:p>
    <w:p w14:paraId="0677A2F4">
      <w:pPr>
        <w:rPr>
          <w:rFonts w:ascii="方正公文小标宋" w:eastAsia="方正公文小标宋"/>
          <w:sz w:val="84"/>
          <w:szCs w:val="84"/>
          <w:lang w:eastAsia="zh-CN"/>
        </w:rPr>
      </w:pPr>
    </w:p>
    <w:p w14:paraId="671B4A0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79C8E9F">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A4B2518">
          <w:pPr>
            <w:rPr>
              <w:rFonts w:hint="eastAsia" w:eastAsiaTheme="minorEastAsia"/>
              <w:lang w:val="zh-CN" w:eastAsia="zh-CN"/>
            </w:rPr>
          </w:pPr>
        </w:p>
        <w:p w14:paraId="514A3FD4">
          <w:pPr>
            <w:pStyle w:val="7"/>
            <w:numPr>
              <w:numId w:val="0"/>
            </w:numPr>
            <w:tabs>
              <w:tab w:val="right" w:leader="dot" w:pos="14001"/>
            </w:tabs>
            <w:ind w:leftChars="0"/>
          </w:pPr>
          <w:bookmarkStart w:id="15" w:name="_GoBack"/>
          <w:r>
            <w:rPr>
              <w:rFonts w:hint="eastAsia"/>
              <w:lang w:val="en-US" w:eastAsia="zh-CN"/>
            </w:rPr>
            <w:t>1.</w:t>
          </w:r>
          <w:r>
            <w:fldChar w:fldCharType="begin"/>
          </w:r>
          <w:r>
            <w:instrText xml:space="preserve">TOC \o "1-1" \h \u </w:instrText>
          </w:r>
          <w:r>
            <w:fldChar w:fldCharType="separate"/>
          </w:r>
          <w:r>
            <w:fldChar w:fldCharType="begin"/>
          </w:r>
          <w:r>
            <w:instrText xml:space="preserve"> HYPERLINK \l _Toc22987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_Toc22987 \h </w:instrText>
          </w:r>
          <w:r>
            <w:fldChar w:fldCharType="separate"/>
          </w:r>
          <w:r>
            <w:t>1</w:t>
          </w:r>
          <w:r>
            <w:fldChar w:fldCharType="end"/>
          </w:r>
          <w:r>
            <w:fldChar w:fldCharType="end"/>
          </w:r>
        </w:p>
        <w:p w14:paraId="3BD782E7">
          <w:pPr>
            <w:pStyle w:val="7"/>
            <w:numPr>
              <w:numId w:val="0"/>
            </w:numPr>
            <w:tabs>
              <w:tab w:val="right" w:leader="dot" w:pos="14001"/>
            </w:tabs>
            <w:ind w:leftChars="0"/>
          </w:pPr>
          <w:r>
            <w:rPr>
              <w:rFonts w:hint="eastAsia"/>
              <w:lang w:val="en-US" w:eastAsia="zh-CN"/>
            </w:rPr>
            <w:t>2.</w:t>
          </w:r>
          <w:r>
            <w:fldChar w:fldCharType="begin"/>
          </w:r>
          <w:r>
            <w:instrText xml:space="preserve"> HYPERLINK \l _Toc32450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_Toc32450 \h </w:instrText>
          </w:r>
          <w:r>
            <w:fldChar w:fldCharType="separate"/>
          </w:r>
          <w:r>
            <w:t>15</w:t>
          </w:r>
          <w:r>
            <w:fldChar w:fldCharType="end"/>
          </w:r>
          <w:r>
            <w:fldChar w:fldCharType="end"/>
          </w:r>
        </w:p>
        <w:p w14:paraId="21E060DF">
          <w:pPr>
            <w:pStyle w:val="7"/>
            <w:numPr>
              <w:numId w:val="0"/>
            </w:numPr>
            <w:tabs>
              <w:tab w:val="right" w:leader="dot" w:pos="14001"/>
            </w:tabs>
            <w:ind w:leftChars="0"/>
          </w:pPr>
          <w:r>
            <w:rPr>
              <w:rFonts w:hint="eastAsia"/>
              <w:lang w:val="en-US" w:eastAsia="zh-CN"/>
            </w:rPr>
            <w:t>3.</w:t>
          </w:r>
          <w:r>
            <w:fldChar w:fldCharType="begin"/>
          </w:r>
          <w:r>
            <w:instrText xml:space="preserve"> HYPERLINK \l _Toc22952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_Toc22952 \h </w:instrText>
          </w:r>
          <w:r>
            <w:fldChar w:fldCharType="separate"/>
          </w:r>
          <w:r>
            <w:t>64</w:t>
          </w:r>
          <w:r>
            <w:fldChar w:fldCharType="end"/>
          </w:r>
          <w:r>
            <w:fldChar w:fldCharType="end"/>
          </w:r>
        </w:p>
        <w:p w14:paraId="3828A1BD">
          <w:pPr>
            <w:rPr>
              <w:rFonts w:cs="Times New Roman"/>
              <w:b/>
              <w:bCs/>
              <w:lang w:val="zh-CN"/>
            </w:rPr>
          </w:pPr>
          <w:r>
            <w:fldChar w:fldCharType="end"/>
          </w:r>
          <w:bookmarkEnd w:id="15"/>
        </w:p>
      </w:sdtContent>
    </w:sdt>
    <w:p w14:paraId="2E167F7E">
      <w:pPr>
        <w:pStyle w:val="2"/>
        <w:jc w:val="both"/>
        <w:rPr>
          <w:rFonts w:ascii="Times New Roman" w:hAnsi="Times New Roman" w:eastAsia="方正小标宋_GBK" w:cs="Times New Roman"/>
          <w:color w:val="auto"/>
          <w:spacing w:val="7"/>
          <w:sz w:val="44"/>
          <w:szCs w:val="44"/>
          <w:lang w:eastAsia="zh-CN"/>
        </w:rPr>
      </w:pPr>
    </w:p>
    <w:p w14:paraId="5EC7BE3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A3EAB2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bookmarkStart w:id="4" w:name="_Toc22987"/>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46A5D31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8F4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5D12">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3DF015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C2C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73FE7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5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6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7168F7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3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6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加强党委自身建设，严格贯彻执行民主集中制，抓好“三重一大”事项决策，落实理论学习中心组学习制度</w:t>
            </w:r>
          </w:p>
        </w:tc>
      </w:tr>
      <w:tr w14:paraId="77D0DC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C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A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抓好基层党组织建设，做好乡镇党委换届工作，落实党代会代表任期制，按期组织召开党代会，进行届中分析工作</w:t>
            </w:r>
          </w:p>
        </w:tc>
      </w:tr>
      <w:tr w14:paraId="623E2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9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5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28ACBD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E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6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5FC17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F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C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DCDCE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B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B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3C24C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C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1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49F3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4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E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3786B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A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C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1648D3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7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E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42F57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7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3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6F871B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C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69E018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D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E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推进辖区党群服务中心（站）规范化建设，提升党务政务服务水平</w:t>
            </w:r>
          </w:p>
        </w:tc>
      </w:tr>
      <w:tr w14:paraId="5E419C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3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A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5A49AB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8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9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F45CA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5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4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38006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8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A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6BB91E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A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3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3523C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C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A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0713A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6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C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6163C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4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1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29478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2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5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0B5B1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F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E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223BC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7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64C378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8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9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5ECE7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8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6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14:paraId="16DB2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3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D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65F95D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3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17813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1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8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29276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D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A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3FA251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3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5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2B4A9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5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B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2DDAC4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8FB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二、经济发展（16项）</w:t>
            </w:r>
          </w:p>
        </w:tc>
      </w:tr>
      <w:tr w14:paraId="6E75D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6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6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15D1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2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E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7DD0BD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2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5906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B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E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724334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B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B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7807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1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D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147FB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E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B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0A652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B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C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做好本级统计信息数据管理、普查调查工作，指导村（社区）开展统计工作</w:t>
            </w:r>
          </w:p>
        </w:tc>
      </w:tr>
      <w:tr w14:paraId="43350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6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制定梅花鹿产业发展规划</w:t>
            </w:r>
          </w:p>
        </w:tc>
      </w:tr>
      <w:tr w14:paraId="59C30F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2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B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做好梅花鹿产业宣传推广工作</w:t>
            </w:r>
          </w:p>
        </w:tc>
      </w:tr>
      <w:tr w14:paraId="101259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2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5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积极创建“双阳梅花鹿”双创孵化基地</w:t>
            </w:r>
          </w:p>
        </w:tc>
      </w:tr>
      <w:tr w14:paraId="4F8B66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A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4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创新认养模式，策划开展“认养一头鹿”活动</w:t>
            </w:r>
          </w:p>
        </w:tc>
      </w:tr>
      <w:tr w14:paraId="1C0547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6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3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推进“双阳梅花鹿”鹿乡鹿产品招募工作</w:t>
            </w:r>
          </w:p>
        </w:tc>
      </w:tr>
      <w:tr w14:paraId="45E02E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D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9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推动“双阳梅花鹿”鹿乡鹿产品重要城市、交通场站、连锁超市等进驻工作，拓宽销售运营渠道</w:t>
            </w:r>
          </w:p>
        </w:tc>
      </w:tr>
      <w:tr w14:paraId="284456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4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8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做好鹿乡镇梅花鹿产业新媒体运营工作</w:t>
            </w:r>
          </w:p>
        </w:tc>
      </w:tr>
      <w:tr w14:paraId="793BA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3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D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做好鹿乡镇鲜茸市场交易秩序、环境卫生、车辆停放等管理工作</w:t>
            </w:r>
          </w:p>
        </w:tc>
      </w:tr>
      <w:tr w14:paraId="1642B3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B63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2647B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E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3559F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6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F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2C61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3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2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5DD874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5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4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EB49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A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9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57CED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4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3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78F4A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9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E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71283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3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9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w:t>
            </w:r>
          </w:p>
        </w:tc>
      </w:tr>
      <w:tr w14:paraId="1CACAE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C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D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5FF5F3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5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7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24BD1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3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8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690D1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7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E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7EC413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E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9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048A28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A2A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07AC6B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B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1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555AD9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8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C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0E2545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C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9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做好依法治镇工作，推进法治建设，提高依法行政水平，依法开展综合行政执法</w:t>
            </w:r>
          </w:p>
        </w:tc>
      </w:tr>
      <w:tr w14:paraId="7774E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8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B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加强镇、村（社区）两级综治中心建设，开展平安建设宣传，实行社会综合治理网格化管理</w:t>
            </w:r>
          </w:p>
        </w:tc>
      </w:tr>
      <w:tr w14:paraId="4B2BF3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E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7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432B1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7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F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0E8326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9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7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08CBD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5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8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7982B0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6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5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25D76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D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8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535B1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6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1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2FBF9F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9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0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89E5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5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F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318A03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5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5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40474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3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9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14D9F2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893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168A0E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B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C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731F8C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D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D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75698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7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F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413A3A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A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C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3DFFA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7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A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306F7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E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F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1F65B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3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9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01BF0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1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F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6DADE9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B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9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2202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E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E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691B0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0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4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负责做好本级水利工程建设中长期规划、年度实施计划的编制和申报工作</w:t>
            </w:r>
          </w:p>
        </w:tc>
      </w:tr>
      <w:tr w14:paraId="034D75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1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2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5A1F06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2D5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6A3CC4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3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5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14:paraId="103D4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A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2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14:paraId="2B8F85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311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05A1FC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3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F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做好辖区生态环境保护工作，开展生态环境保护宣传，负责水、大气、土壤、固体废弃物、禽畜养殖等日常监督检查、整改和污染源普查工作，发现污染源及时上报</w:t>
            </w:r>
          </w:p>
        </w:tc>
      </w:tr>
      <w:tr w14:paraId="2F530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8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3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2841CA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D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0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7DBB25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DDB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73A9D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8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6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47628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2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F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负责辖区权限范围内市政设施的日常管理、维修养护和监督检查工作，卫生责任区的划定工作，督促落实市容和环境卫生责任</w:t>
            </w:r>
          </w:p>
        </w:tc>
      </w:tr>
      <w:tr w14:paraId="50806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5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5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08DB72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F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1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14:paraId="3D9D06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6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5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负责辖区生产生活秩序管理工作，治理违规占道经营等问题</w:t>
            </w:r>
          </w:p>
        </w:tc>
      </w:tr>
      <w:tr w14:paraId="47F7E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1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A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负责本级建设项目勘察、选址、招投标、建设竣工验收的监管和服务保障</w:t>
            </w:r>
          </w:p>
        </w:tc>
      </w:tr>
      <w:tr w14:paraId="19371C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9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4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负责辖区设施工地围挡、宣传悬挂物、临时性建筑物等事项的日常管理工作</w:t>
            </w:r>
          </w:p>
        </w:tc>
      </w:tr>
      <w:tr w14:paraId="219764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6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F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355CA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8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C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4FF5A2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B7D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14:paraId="49F58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9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1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4F3F22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9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D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73F06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D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9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负责农村公路的日常养护、巡查管理，督促检查施工安全</w:t>
            </w:r>
          </w:p>
        </w:tc>
      </w:tr>
      <w:tr w14:paraId="6C244C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B88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14:paraId="21555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F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F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526893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4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7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6A1EF3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C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9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22899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C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9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加强双阳梅花鹿博物馆建设，做好特产馆搭建工作</w:t>
            </w:r>
          </w:p>
        </w:tc>
      </w:tr>
      <w:tr w14:paraId="4B6A7E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196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十一、应急管理及消防（2项）</w:t>
            </w:r>
          </w:p>
        </w:tc>
      </w:tr>
      <w:tr w14:paraId="1E16C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9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B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15E2F8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B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2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2E53D9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7FD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14:paraId="19D401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4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4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505C42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F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0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0F10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B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5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4E2BA6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6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2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D8AD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E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069CC9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7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8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F74C8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8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C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4D00F0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9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B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9C29B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2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3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300493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0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2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1F540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4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8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698D5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F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B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3CF049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A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6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2771BC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D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2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48BD72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2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r w14:paraId="2F436A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3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负责双阳梅花鹿博物馆综合性事务以及日常人员管理工作</w:t>
            </w:r>
          </w:p>
        </w:tc>
      </w:tr>
    </w:tbl>
    <w:p w14:paraId="3DA1A85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950"/>
      <w:bookmarkStart w:id="6" w:name="_Toc172533653"/>
      <w:bookmarkStart w:id="7" w:name="_Toc172077552"/>
      <w:bookmarkStart w:id="8" w:name="_Toc172077417"/>
      <w:bookmarkStart w:id="9" w:name="_Toc324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CD7738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F8B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24A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C9C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59C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093C">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932B4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5839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143833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0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5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E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E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6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1.建立乡镇党校，做好日常管理；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45C092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1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6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8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8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B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落实上级要求，做好村（社区）党组织书记选拔、管理、培养、激励、免职、后备人才储备等工作</w:t>
            </w:r>
          </w:p>
        </w:tc>
      </w:tr>
      <w:tr w14:paraId="77ED02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0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2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D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B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5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798F0F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6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F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9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1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9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144EB2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C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8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4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4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3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35CB54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7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D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2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E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D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2265C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1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9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D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C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1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1F3947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B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A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9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0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E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44D91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D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9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5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7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5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1.指导所辖村（社区）做好农家书屋日常管理及借阅登记工作；                        2.做好农家书屋宣传动员工作</w:t>
            </w:r>
          </w:p>
        </w:tc>
      </w:tr>
      <w:tr w14:paraId="355B5B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3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D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F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0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503244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E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4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F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1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0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2.向协作区责任领导汇报监督检查及案件查办等工作情况，报请研究本乡镇需要协作区解决的工作事项</w:t>
            </w:r>
          </w:p>
        </w:tc>
      </w:tr>
      <w:tr w14:paraId="3382E6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8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A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9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C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8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4EB445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F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F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9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A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E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4E65A3B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4D61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二、经济发展（20项）</w:t>
            </w:r>
          </w:p>
        </w:tc>
      </w:tr>
      <w:tr w14:paraId="52F83F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B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A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梅花鹿产业人才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6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区农业农村局
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4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区委组织部、区农业农村局负责审核乡村振兴人才申报材料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区畜牧业管理局负责汇编梅花鹿产业人才事迹材料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C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1.搜集梅花鹿产业人才基本信息和先进事迹；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2.组织人员申报乡村振兴人才；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3.做好高校课题调研对接服务工作</w:t>
            </w:r>
          </w:p>
        </w:tc>
      </w:tr>
      <w:tr w14:paraId="2AA9E9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3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B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梅花鹿产业外宣工作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7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负责形成稿件、组建团队进行拍摄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1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配合做好宣传稿件校对和拍摄工作</w:t>
            </w:r>
          </w:p>
        </w:tc>
      </w:tr>
      <w:tr w14:paraId="458AC4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0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1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1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E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5FBF3D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B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D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4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D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D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71436F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A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4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政府投资项目的谋划管理工作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7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3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1.指导谋划政府投资重大建设项目，争取国家、省、市、区财政性资金；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2.编制年度政府投资建设项目计划、调度管理政府投资项目进展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1.负责辖区内重大政府投资项目谋划工作；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2.负责筹备申报辖区内项目对应争取国家、省、市各类支持资金；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3.负责调度管理下达资金项目的建设推进、资金支付及竣工验收等工作；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5.负责辖区内政府投资项目的建设推进及竣工验收等工作</w:t>
            </w:r>
          </w:p>
        </w:tc>
      </w:tr>
      <w:tr w14:paraId="1D5EF5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A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F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8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F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2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2633C1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7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8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4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0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3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乡镇提出为建设主体的财政投资项目工程预决（结）算委托申请并提供项目建设资料</w:t>
            </w:r>
          </w:p>
        </w:tc>
      </w:tr>
      <w:tr w14:paraId="2D346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D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8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9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1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                                         3.配合推进辖区内金融服务工作</w:t>
            </w:r>
          </w:p>
        </w:tc>
      </w:tr>
      <w:tr w14:paraId="3CAAA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5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7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梅花鹿产业项目申报工作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C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0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根据梅花鹿特色产业项目要求，审核上报项目材料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4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根据梅花鹿特色产业项目要求，初审上报项目申报材料，配合做好项目验收</w:t>
            </w:r>
          </w:p>
        </w:tc>
      </w:tr>
      <w:tr w14:paraId="09E27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C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0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梅花鹿产业推介工作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C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1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召开梅花鹿养殖、鹿产品深加工、电商销售、品牌建设等各类推介会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2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组织养殖户、经销户以及鹿产业其他相关人员参加梅花鹿养殖、鹿产品深加工、电商销售、品牌建设等领域推介会</w:t>
            </w:r>
          </w:p>
        </w:tc>
      </w:tr>
      <w:tr w14:paraId="0BED9A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2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D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0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E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9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44D5C1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0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F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8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9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D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3B356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0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C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B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2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6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76FC2A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B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8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9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4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72437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6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9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4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9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6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镇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2BCD74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3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7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E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D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4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3A90E5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B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E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B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4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128D6E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1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4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B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B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6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1234C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0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8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D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8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8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027F90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F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3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D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9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9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682C2D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8527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2DBABE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9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D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7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E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F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75B239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5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4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2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6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2.审核养老机构上报的资料，根据村（社区）掌握情况，对提出申请的机构进行入户核查并书面确认结果，将资料统计汇总集中上报；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50AC8E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5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8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A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5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781B6A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3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F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3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0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4.发展村（社区）慈善事业，逐步设立本级慈善基金，组织开展慈善活动；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0BB65B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E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7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D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9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3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5B11F5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7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F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B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2.整理全区新申请及在保人员，需比对人员信息，及时上传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D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5D0036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B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D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2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B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3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4C39C1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C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A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9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2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C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277040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A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2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农村公办福利机构管理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F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E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负责对各乡镇（街道）农村公办福利机构进行业务指导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B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1.做好农村公办福利机构管理工作；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2.做好人员聘任、固定资产管理等工作</w:t>
            </w:r>
          </w:p>
        </w:tc>
      </w:tr>
      <w:tr w14:paraId="329640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7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A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F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F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3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445B50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5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2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0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B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                                        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                                           4.负责对安装完成的冬季清洁取暖设备进行区域验收；                                                          5.负责对居民反映冬季清洁取暖工作所存在的问题进行统计，并及时反馈到区住房和城乡建设局</w:t>
            </w:r>
          </w:p>
        </w:tc>
      </w:tr>
      <w:tr w14:paraId="43B32E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5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D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C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4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4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3FB8D7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7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8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F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D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4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370432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1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E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A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8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1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2E39B3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8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E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B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C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7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5896B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3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3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3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D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8.残疾人土葬需由乡镇报送给区残联进行数据比对；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5A1833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0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9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B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区政务服务和数字化建设管理局负责做好医保政务服务下沉事项入驻工作，协调配合长春市医疗保障局双阳分局做好账号开通、权限设定等工作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6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485810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C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B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0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9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9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61F6DE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2ED6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69D4F7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A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2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C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D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A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41707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A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4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0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2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B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4F1CB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5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1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C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6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5.协助做好与流动人口居住登记服务工作；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319A9F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D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B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1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F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F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41562C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6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6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护校安园工作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6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D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1.指导学校开展“人防、物防、技防”设施建设；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2.加强校园安全检查、矛盾纠纷排查化解、重点人员动态管控；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3.加大学校及周边区域实兵巡逻和视频巡逻，维护校园周边治安、交通秩序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3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1.安排巡查员重点时段在学校周边配合校园保安、执勤民警、家长志愿者维护门口交通通畅；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2.开展重要节点校园周边200米经营场所专项检查</w:t>
            </w:r>
          </w:p>
        </w:tc>
      </w:tr>
      <w:tr w14:paraId="221317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E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2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E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0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4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协助法律顾问进村（社区）入户开展法律咨询，法律援助，开展法治宣传、矛盾调解、法律服务等工作</w:t>
            </w:r>
          </w:p>
        </w:tc>
      </w:tr>
      <w:tr w14:paraId="6B9E93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B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3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C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9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6B4EE5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E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A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8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7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5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4B2D02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8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B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F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3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B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2.结合实际在村（居）委会或社区服务中心建立公共法律服务工作室，提供相关法律服务，发挥村（居）人民调解员等人员的作用；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633A96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6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D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F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4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7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412AF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7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F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6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0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居)民委员会和被害人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5.司法所办理接收社区矫正对象手续后，应当在5个工作日内向社区矫正对象所在村（居）民委员会出具《协助社区矫正工作通知单》，并留存根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9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31C13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7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4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4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3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6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64B18A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7066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五、乡村振兴（26项）</w:t>
            </w:r>
          </w:p>
        </w:tc>
      </w:tr>
      <w:tr w14:paraId="3ED312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2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1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8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7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1.做好农户庭院安全储粮的政策落实和技术指导工作，落实上级安全储粮标准；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2.做好农户科学储粮知识和方法的宣传，减少储粮损失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5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14:paraId="023C8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3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7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3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D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1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2261A6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9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0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C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3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1.做好村级申报、乡镇初审和系统录入工作；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3239E2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4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C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9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0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6C94E1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7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9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0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0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23A3B3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D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6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C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4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C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1AC119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A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7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4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5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9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0ECDC9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B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6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1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E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1.负责农村供水工程项目规划、设计、组织编制实施方案等前期工作；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F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40367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0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1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C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1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1.实施涉农乡镇辖区内取用水的农饮、农灌年度取水计划；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0E27C3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0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B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C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7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8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723590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7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6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9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8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D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087854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4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C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A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C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4.培育区域农机服务中心和应急作业服务队工作，做好复审认定工作及时汇总上报并择优向上级推荐；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7AEC7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5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D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7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9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3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2.做好实施项目物资接收、保管以及实施过程的监管工作；                                                                      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561135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2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C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E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4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4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56CEE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0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9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D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D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A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02B67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D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D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F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5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A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07804D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9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C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9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9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8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54260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2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0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4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E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7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583C92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4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B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F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2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2.做好政策传达，宣传推广工作，落实上级下达的地膜推广任务；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57C51B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7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7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A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1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3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119A7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B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9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5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7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A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26EE3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9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2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3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8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D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6.负责制定帮扶措施、落实帮扶政策；核实反馈预警信息，做好日常、集中排查及数据报表等工作；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7939F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F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7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4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C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2.负责规范和加强建设管理和安全生产管理工作；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3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1.配合完成辖区内高标准农田建设项目规划建设工作，监督工程质量，发现问题及时上报；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2.统筹协调施工过程中临时占地和解决群众上访问题；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3.负责做好建后管护工作</w:t>
            </w:r>
          </w:p>
        </w:tc>
      </w:tr>
      <w:tr w14:paraId="170FB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1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A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A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6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218A1D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A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9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A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9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3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4CC9A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E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6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梅花鹿、肉牛产业发展工作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7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6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2.统筹谋划相关产业奖补政策；                                         3.负责相关产业配套资金的管理；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4.负责各项数据的统计；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5.开展养殖技术宣传、指导工作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D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1.制定乡镇相关产业发展计划；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4.组织人员进行技术宣传指导工作</w:t>
            </w:r>
          </w:p>
        </w:tc>
      </w:tr>
      <w:tr w14:paraId="43EDA2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7B55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790217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2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6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8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A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8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524D95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B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0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4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9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4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598DC6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CAFF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049444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F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C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C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F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E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3B5750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7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D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8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0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3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22117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E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3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7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B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4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5D3404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F28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6EBFE7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3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B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E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9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6A156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9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7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0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D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6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37AC28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6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0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1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9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7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2.建立乡镇级耕地和永久基本农田巡田台账并定期更新；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519C3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4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5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C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C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6D671A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A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7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8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D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1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61F6A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D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5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4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2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D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3C7951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D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E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A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9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3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65866C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F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E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C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3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1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4BF15E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1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7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6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1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5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6E07E6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3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1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A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1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1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4D93F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5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1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1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A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0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22D217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E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1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7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E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A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695903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6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8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7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6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9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6C6239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1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0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5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3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5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3D30A3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C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F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B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6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1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3.做好林业工作人员“全国乡镇林业工作站岗位培训在线平台”学习工作</w:t>
            </w:r>
          </w:p>
        </w:tc>
      </w:tr>
      <w:tr w14:paraId="2AE91F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3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2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5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1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E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614C09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7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A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3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1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67D92C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6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4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1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7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1.对乡镇（街道）林木采伐的申请进行审核；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A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1.制定采伐方案、对林木蓄积、株数、面积、胸径等进行实地勘察、提交采伐申请；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2.负责林木现场采伐监督工作</w:t>
            </w:r>
          </w:p>
        </w:tc>
      </w:tr>
      <w:tr w14:paraId="166124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D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C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0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F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4.负责全区野生动物救助工作，负责将救助的野生动物送至省市救助站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7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5961A8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5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9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6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2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1.监督管理全区陆生野生动物、植物猎捕或采集、驯养繁育或培育、经营利用；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2.负责办理野生动物人工繁育材料审核、踏查、备案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0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1.配合监督管理辖区内陆生野生动植物猎捕或采集、驯养繁殖或培育、经营利用；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2.负责办理野生动物人工繁育申请受理、材料初审</w:t>
            </w:r>
          </w:p>
        </w:tc>
      </w:tr>
      <w:tr w14:paraId="06B330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8931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九、城乡建设（14项）</w:t>
            </w:r>
          </w:p>
        </w:tc>
      </w:tr>
      <w:tr w14:paraId="78E580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B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F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6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E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5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3806B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0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6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D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6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0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625FB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2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F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3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3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0464B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3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9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4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5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2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04578B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5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F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1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F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F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6BB894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0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A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B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B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4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6BA06A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9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A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2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7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4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4C63E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1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A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建设工程项目管网设计审查、接入审批及验收工作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1.负责城区内城市排水、污水管网及附属设施等工作的建设和管理；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2.负责配合区自然资源局对新建建设工程项目办理《管网综合图》提出意见，就项目排水设计方案是否符合城市排水与污水处理规划和相关标准提出意见，牵头完成建设工程项目排水设施报装及验收工作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6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2.协助对辖区内新建建设工程项目办理《管网综合图》提出意见，就项目排水设计方案是否符合城市排水与污水处理规划和相关标准提出意见，并参与项目排水设施报装与竣工验收工作</w:t>
            </w:r>
          </w:p>
        </w:tc>
      </w:tr>
      <w:tr w14:paraId="109D34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9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E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入网排污监督管理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B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1.负责本行政区域内《城镇污水排入排水管网许可证》《长春市建设工程施工降水临时排水许可证》的颁发和监督管理；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2.对单位和个人存在违反《城镇排水与污水处理条例》或相关法律法规的违法行为进行处罚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7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1.协助对辖区内排水户及临时建筑工地等接入属地排水管网情况进行踏勘、监督和验收；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2.协助发现企业或者个人存在违法违规行为及时劝阻制止，劝阻制止无效的及时向区排水管理部门报告并配合查处违法行为</w:t>
            </w:r>
          </w:p>
        </w:tc>
      </w:tr>
      <w:tr w14:paraId="36E019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9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2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城镇污水处理设施运营监督检查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0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9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1.负责乡镇（街道）生活污水处理设施运行维护的监督管理；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2.统筹指导乡镇（街道）生活污水处理设施的建设工作，对乡镇（街道）生活污水处理设施运营情况定期调度，对污泥的产量、处置情况进行跟踪；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3.接到突发情况、违法行为报告后及时核查处理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D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1.协助乡镇生活污水处理设施运行维护的巡查、检查工作，做好辖区内污水管网日常维护；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2.完成乡镇生活污水处理设施建设；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3.发现突发情况、违法行为及时向主管部门报告</w:t>
            </w:r>
          </w:p>
        </w:tc>
      </w:tr>
      <w:tr w14:paraId="1A8B6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F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0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A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8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5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5E5F9A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0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B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B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9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D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48353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6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5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C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4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0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1A24E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8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C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9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1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B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1D94F5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BFF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14:paraId="505FD3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F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9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6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4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F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5B5590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6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F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E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D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F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33790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2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6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E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8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8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配合对途径等外公路的农村客运班线通行条件提出具体意见</w:t>
            </w:r>
          </w:p>
        </w:tc>
      </w:tr>
      <w:tr w14:paraId="0B4F84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9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1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A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5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4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1.配合做好普通国省干线公路穿越乡镇城区和村屯路段日常保洁和冬季除雪防滑等日常养护工作；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2.配合做好普通国省干线公路城乡过境段交通安全隐患治理工作，区、乡、村三级联动，发现隐患及时报送区交通运输局；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3.按照谁设置谁维护的原则，定期维护普通国省干线公路城乡过境段乡镇自行增设设施，确保道路通行安全</w:t>
            </w:r>
          </w:p>
        </w:tc>
      </w:tr>
      <w:tr w14:paraId="667E12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0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F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3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1.负责规划全区农村公路未来发展及主要目标，并编制方案；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2.制定年度建设计划及目标，并向上级交通主管部门进行项目申报，申请交通项目补贴资金；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3.负责本单位农村公路项目建设招投标工作，监管并协助乡镇、涉农街道农村公路项目招投标工作；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4.做好农村公路建设方面的质量监督、技术指导、竣工验收等工作；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5.组织本单位为业主的农村公路工程结算审计，同时会同质检、监理等单位进行工程竣工验收，并移交资产至所属乡镇、涉农街道；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2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1.结合自身发展及群众日常生活需求，科学、合理的报送乡道、村道的项目申报、土地协调及施工环境保障；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2.负责乡道、村道的养护工作，协助做好本行政区域内县道的养护工作，指导村做好村民自觉护路的引导工作；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3.做好公路建设养护土地使用、居民搬迁、挖砂采石、取土取水等有关支持工作；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4.协助开展农村公路建设、养护方面的宣传引导工作，协调处理农村公路建设项目期间与当地群众的矛盾纠纷等问题；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5.做好自建农村公路项目质量监督申请和竣工验收申请递交工作，协助做好农村公路建设、管理和养护工作</w:t>
            </w:r>
          </w:p>
        </w:tc>
      </w:tr>
      <w:tr w14:paraId="3A46A5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429A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711A9E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E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7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3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5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1.负责乡镇（街道）综合服务中心、村（社区）文化服务中心工作的检查和管理；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3.指导乡镇（街道）综合服务中心开展群众文化、体育活动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1.指导村（社区）文化服务中心开展公共文化服务活动；                            2.配合区文化体育工作总站指导村（社区）开展文化体育活动</w:t>
            </w:r>
          </w:p>
        </w:tc>
      </w:tr>
      <w:tr w14:paraId="7A2CE9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2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0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E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F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踏查全区内非物质文化遗产项目并指导做好保护传承工作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9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5864A6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1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2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8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3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5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73F06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8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F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4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E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F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2.配合督促被赠与器材的村（社区）做好健身设施日常管理；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010484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E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3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E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牵头查处清理非法卫星接收器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8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1015DA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B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F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3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2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D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挖掘本地旅游资源,配合旅游资源的普查、利用和管理工作</w:t>
            </w:r>
          </w:p>
        </w:tc>
      </w:tr>
      <w:tr w14:paraId="503B7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A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3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3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C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6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5E4D70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2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F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D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1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F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5C050E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803F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51D7E5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D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4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6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C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7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8.指导村（社区）做好户籍地申请计划生育扶助家庭（即：农村部分计划生育家庭奖励扶助、计划生育家庭特别扶助、城镇计划生育家庭独生子女父母退休后奖励）人群政策宣传、摸底和统计工作；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10.指导村（社区）做好计划生育特殊家庭护工补贴人群宣传、告知等工作；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04EDEC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1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3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0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2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8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2FEE65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F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7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8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0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6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1.指导村（社区）组织村（居）民参与传染病预防控制活动，发现疫情及时上报；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4.配合做好艾滋病的防治工作，采取预防、控制措施，防止艾滋病传播</w:t>
            </w:r>
          </w:p>
        </w:tc>
      </w:tr>
      <w:tr w14:paraId="41932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4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4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9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7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D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1.发挥乡镇主导作用，建立多部门联动机制；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3A1B0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5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8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E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0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1.实施基本公共卫生服务项目，向全体居民提供公益性的公共卫生干预措施，减少主要健康危害因素，使城乡居民平等的享有基本公共卫生服务；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D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02FE14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0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F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6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B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4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3A56A0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DE50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0C1C20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5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3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0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D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A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759CA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E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6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2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D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1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4822B5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5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F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9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2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4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3B3D8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C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6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B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C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4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1BD148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2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4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9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8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9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13BBA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6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E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C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5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9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1.编制本级突发事件应急预案和事故灾难，指导村（社区）完成突发事件和事故灾难应急预案，制定演练计划并组织演练；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2.组织建立乡镇、村（社区）级应急救援队伍，并做好报送和更新工作；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7D533C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6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E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7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D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5.依法查处大型群众性活动中的违法犯罪行为，处置危害公共安全的突发事件；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8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5E33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5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F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E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2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7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4AE00A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E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1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7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5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C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3D1F79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1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4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A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9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B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491632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B5A2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6C56E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5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2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3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2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B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640B9D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1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F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F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2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7F1B7B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C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A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A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0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2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08A939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6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1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C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7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1D2929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2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2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8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5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6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1.应用吉林省政务服务事项库管理系统，对乡镇、村（社区）账号下的政务服务事项基本目录和业务办理项进行动态调整、更新工作；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2.应用吉林省全流程审批系统进行政务服务事项审批，并落实乡镇吉林省全流程审批系统的审批事项配置、调整和审批人员、审批权限变更提交需求单等相关工作</w:t>
            </w:r>
          </w:p>
        </w:tc>
      </w:tr>
    </w:tbl>
    <w:p w14:paraId="6AC036E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077418"/>
      <w:bookmarkStart w:id="11" w:name="_Toc172077553"/>
      <w:bookmarkStart w:id="12" w:name="_Toc172077951"/>
      <w:bookmarkStart w:id="13" w:name="_Toc172533654"/>
      <w:bookmarkStart w:id="14" w:name="_Toc22952"/>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4E41A4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D41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75A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5F8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7B828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77D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5BD44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9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6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6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4.负责在乡镇（街道）等基层单位设置法律援助工作站或联系点，方便群众就近申请法律援助</w:t>
            </w:r>
          </w:p>
        </w:tc>
      </w:tr>
      <w:tr w14:paraId="6144E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1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8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6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1E65C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4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4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F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469274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8B7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3ED52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5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1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C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49E18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9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6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F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4C6B9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4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6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6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2.根据检疫工作需要，合理设置动物检疫申报点，并向社会公布动物检疫申报点、检疫范围和检疫对象,受理检疫申报后，派出官方兽医到现场或指定地点实施检疫</w:t>
            </w:r>
          </w:p>
        </w:tc>
      </w:tr>
      <w:tr w14:paraId="3A573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A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0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DF06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B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1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B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C71DF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8EE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2460E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0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9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5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202A0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F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F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E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A7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C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E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E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2CD4E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1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2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2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887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8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E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4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387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A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B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0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E57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A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5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C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09DDC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7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C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9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32D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6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E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8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23A282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62A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5B118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6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8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4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C2A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D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2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B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0D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0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2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E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285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F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E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0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6B6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F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0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3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1A1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6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9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1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BCF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6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A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F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0D6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8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5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2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A781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4CC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01642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1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B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5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2.城市管理综合行政执法大队发现餐饮油烟违规排放问题，申请城管局城市管理科（行政审批办公室）进行油烟检测；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05BD9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3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0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6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AE45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B24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3E0C0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B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D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25A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D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0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C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52C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D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0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F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870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C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C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E9A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3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5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B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20B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0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8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E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255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1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E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5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6A9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8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8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8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FA8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A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D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8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6BD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8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B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F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FFA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9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9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8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9F3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9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8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D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244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E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A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D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97D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D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0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C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14C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0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4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9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E18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E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6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E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D22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F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1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8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237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6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D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8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4F8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6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2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0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E49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7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0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A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7FA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7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C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6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5D4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B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A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41C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5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3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5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B6F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5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7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C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829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2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7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F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478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5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7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8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7961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E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8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B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79F3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D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F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1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9723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0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9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4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D858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1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0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B037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7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B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5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B239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F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9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3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8395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A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7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7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2FF5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2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8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F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01B1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A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D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F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BB44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9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2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591A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6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D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3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3E83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9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F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2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4CC1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4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8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1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D964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5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F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FF237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D31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4C754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C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0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2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C87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8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6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A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55A5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9B6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0AB4A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E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A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7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118FF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9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7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4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5322B3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EFA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50449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6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F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4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FF9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1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D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A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E62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C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6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7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665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C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3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5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222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E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5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A5C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3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F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9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66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7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6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8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422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6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0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5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工作方式：区消防大队督促消防安全重点单位建立微型消防站</w:t>
            </w:r>
          </w:p>
        </w:tc>
      </w:tr>
    </w:tbl>
    <w:p w14:paraId="0E1DD157">
      <w:pPr>
        <w:pStyle w:val="3"/>
        <w:spacing w:before="0" w:after="0" w:line="240" w:lineRule="auto"/>
        <w:jc w:val="center"/>
        <w:rPr>
          <w:rFonts w:ascii="Times New Roman" w:hAnsi="Times New Roman" w:eastAsia="方正小标宋_GBK" w:cs="Times New Roman"/>
          <w:color w:val="auto"/>
          <w:spacing w:val="7"/>
          <w:lang w:eastAsia="zh-CN"/>
        </w:rPr>
      </w:pPr>
    </w:p>
    <w:p w14:paraId="16F218B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8AF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82A8E8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82A8E8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386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19D7671"/>
    <w:rsid w:val="4CE8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82</Pages>
  <Words>85</Words>
  <Characters>86</Characters>
  <Lines>1</Lines>
  <Paragraphs>1</Paragraphs>
  <TotalTime>1</TotalTime>
  <ScaleCrop>false</ScaleCrop>
  <LinksUpToDate>false</LinksUpToDate>
  <CharactersWithSpaces>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2025-06-27T07:20:58Z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eyJoZGlkIjoiNjhlZTYwNjNlYjQ0MWNhYzA4MWIxODAzYjE0ZjQ2ZDEifQ==</vt:lpwstr>
  </property>
  <property fmtid="{D5CDD505-2E9C-101B-9397-08002B2CF9AE}" pid="3" name="KSOProductBuildVer">
    <vt:lpwstr>2052-12.1.0.19770</vt:lpwstr>
  </property>
  <property fmtid="{D5CDD505-2E9C-101B-9397-08002B2CF9AE}" pid="4" name="ICV">
    <vt:lpwstr>304796254BCC4A0B8B4D5F20ED1EF236_13</vt:lpwstr>
  </property>
</Properties>
</file>