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39" w:rsidRDefault="003110C4">
      <w:pPr>
        <w:jc w:val="center"/>
        <w:rPr>
          <w:b/>
          <w:sz w:val="36"/>
          <w:szCs w:val="36"/>
        </w:rPr>
      </w:pPr>
      <w:r>
        <w:rPr>
          <w:b/>
          <w:sz w:val="36"/>
          <w:szCs w:val="36"/>
        </w:rPr>
        <w:t>长春市广润水务有限公司（</w:t>
      </w:r>
      <w:r>
        <w:rPr>
          <w:rFonts w:hint="eastAsia"/>
          <w:b/>
          <w:sz w:val="36"/>
          <w:szCs w:val="36"/>
        </w:rPr>
        <w:t>山河</w:t>
      </w:r>
      <w:r>
        <w:rPr>
          <w:b/>
          <w:sz w:val="36"/>
          <w:szCs w:val="36"/>
        </w:rPr>
        <w:t>污水厂）</w:t>
      </w:r>
    </w:p>
    <w:p w:rsidR="00D75C39" w:rsidRDefault="003110C4">
      <w:pPr>
        <w:jc w:val="center"/>
        <w:rPr>
          <w:b/>
          <w:sz w:val="36"/>
          <w:szCs w:val="36"/>
        </w:rPr>
      </w:pPr>
      <w:r>
        <w:rPr>
          <w:rFonts w:hint="eastAsia"/>
          <w:b/>
          <w:sz w:val="36"/>
          <w:szCs w:val="36"/>
        </w:rPr>
        <w:t>202</w:t>
      </w:r>
      <w:r w:rsidR="002A5B5F">
        <w:rPr>
          <w:rFonts w:hint="eastAsia"/>
          <w:b/>
          <w:sz w:val="36"/>
          <w:szCs w:val="36"/>
        </w:rPr>
        <w:t>5</w:t>
      </w:r>
      <w:r>
        <w:rPr>
          <w:rFonts w:hint="eastAsia"/>
          <w:b/>
          <w:sz w:val="36"/>
          <w:szCs w:val="36"/>
        </w:rPr>
        <w:t>年自行监测方案</w:t>
      </w:r>
    </w:p>
    <w:p w:rsidR="00D75C39" w:rsidRDefault="00D75C39">
      <w:pPr>
        <w:jc w:val="center"/>
        <w:rPr>
          <w:b/>
          <w:sz w:val="44"/>
          <w:szCs w:val="44"/>
        </w:rPr>
      </w:pPr>
    </w:p>
    <w:p w:rsidR="00D75C39" w:rsidRDefault="003110C4">
      <w:pPr>
        <w:spacing w:line="360" w:lineRule="auto"/>
        <w:rPr>
          <w:rFonts w:ascii="楷体_GB2312" w:eastAsia="楷体_GB2312"/>
          <w:b/>
          <w:sz w:val="32"/>
          <w:szCs w:val="32"/>
        </w:rPr>
      </w:pPr>
      <w:r>
        <w:rPr>
          <w:rFonts w:ascii="楷体_GB2312" w:eastAsia="楷体_GB2312" w:hint="eastAsia"/>
          <w:b/>
          <w:sz w:val="32"/>
          <w:szCs w:val="32"/>
        </w:rPr>
        <w:t>一、企业概况及监测能力简介</w:t>
      </w:r>
    </w:p>
    <w:p w:rsidR="00D75C39" w:rsidRDefault="003110C4">
      <w:pPr>
        <w:spacing w:line="360" w:lineRule="auto"/>
        <w:rPr>
          <w:rFonts w:ascii="仿宋_GB2312" w:eastAsia="仿宋_GB2312"/>
          <w:sz w:val="32"/>
          <w:szCs w:val="32"/>
        </w:rPr>
      </w:pPr>
      <w:r>
        <w:rPr>
          <w:rFonts w:ascii="仿宋_GB2312" w:eastAsia="仿宋_GB2312" w:hint="eastAsia"/>
          <w:sz w:val="32"/>
          <w:szCs w:val="32"/>
        </w:rPr>
        <w:t>（一）企业概况</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山河污水处理厂于2019年04月开工建设，2020年07月开始试运行。设计生活污水处理量为600吨/天，采用A2/O工艺+深度处理，设计出水标准达到《城镇污水处理厂污染物排放标准》（GB18918-2002）一级A标准。</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污水处理厂占地1.6公顷，位于双阳区山河街道办事处四棵树村南侧。配套污水管网4.9公里。项目总投资5177万元。主要建设单体：粗格栅、细格栅及旋流沉砂池、A2/O池，深度处理间、紫外消毒间、污泥脱水间及配电室、综合楼等。</w:t>
      </w:r>
    </w:p>
    <w:p w:rsidR="00D75C39" w:rsidRDefault="003110C4">
      <w:pPr>
        <w:spacing w:line="360" w:lineRule="auto"/>
        <w:ind w:firstLineChars="200" w:firstLine="640"/>
        <w:rPr>
          <w:rFonts w:ascii="仿宋_GB2312" w:eastAsia="仿宋_GB2312" w:hAnsi="宋体" w:cs="宋体"/>
          <w:sz w:val="32"/>
          <w:szCs w:val="32"/>
        </w:rPr>
      </w:pPr>
      <w:r>
        <w:rPr>
          <w:rFonts w:ascii="仿宋_GB2312" w:eastAsia="仿宋_GB2312" w:hint="eastAsia"/>
          <w:sz w:val="32"/>
          <w:szCs w:val="32"/>
        </w:rPr>
        <w:t>长春市双阳区山河污水处理厂收集的污水主要集中在山河街道镇区。现工艺主要由粗格栅、细格栅、旋流沉砂池、生化池、深度处理池、紫外消毒池、污泥泵房及污泥浓缩脱水间构成。处理工艺流程如下；污水先经粗格栅过滤进入细格栅，经旋流沉沙池进生化池，</w:t>
      </w:r>
      <w:r>
        <w:rPr>
          <w:rFonts w:ascii="仿宋_GB2312" w:eastAsia="仿宋_GB2312" w:hAnsi="宋体" w:cs="宋体" w:hint="eastAsia"/>
          <w:sz w:val="32"/>
          <w:szCs w:val="32"/>
        </w:rPr>
        <w:t>上清液进入深度处理间进行过滤处理，出水用紫外消毒灯进行消毒，最后排入柳树河。</w:t>
      </w:r>
    </w:p>
    <w:p w:rsidR="00D75C39" w:rsidRDefault="003110C4">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工艺流程图见附图 1所示。</w:t>
      </w:r>
    </w:p>
    <w:p w:rsidR="00D75C39" w:rsidRDefault="00D75C39">
      <w:pPr>
        <w:spacing w:line="360" w:lineRule="auto"/>
        <w:ind w:firstLineChars="200" w:firstLine="640"/>
        <w:rPr>
          <w:rFonts w:ascii="仿宋_GB2312" w:eastAsia="仿宋_GB2312" w:hAnsi="宋体" w:cs="宋体"/>
          <w:color w:val="FF0000"/>
          <w:sz w:val="32"/>
          <w:szCs w:val="32"/>
        </w:rPr>
      </w:pPr>
    </w:p>
    <w:p w:rsidR="00D75C39" w:rsidRDefault="003110C4">
      <w:pPr>
        <w:spacing w:line="360" w:lineRule="auto"/>
        <w:jc w:val="center"/>
        <w:rPr>
          <w:rFonts w:ascii="仿宋_GB2312" w:eastAsia="仿宋_GB2312" w:hAnsi="宋体" w:cs="宋体"/>
          <w:color w:val="FF0000"/>
          <w:sz w:val="32"/>
          <w:szCs w:val="32"/>
        </w:rPr>
      </w:pPr>
      <w:r>
        <w:rPr>
          <w:noProof/>
        </w:rPr>
        <w:lastRenderedPageBreak/>
        <w:drawing>
          <wp:inline distT="0" distB="0" distL="114300" distR="114300">
            <wp:extent cx="4086225" cy="4848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4086225" cy="4848225"/>
                    </a:xfrm>
                    <a:prstGeom prst="rect">
                      <a:avLst/>
                    </a:prstGeom>
                    <a:noFill/>
                    <a:ln>
                      <a:noFill/>
                    </a:ln>
                  </pic:spPr>
                </pic:pic>
              </a:graphicData>
            </a:graphic>
          </wp:inline>
        </w:drawing>
      </w:r>
    </w:p>
    <w:p w:rsidR="00D75C39" w:rsidRDefault="003110C4">
      <w:pPr>
        <w:spacing w:line="360" w:lineRule="auto"/>
        <w:jc w:val="center"/>
        <w:rPr>
          <w:rFonts w:ascii="仿宋_GB2312" w:eastAsia="仿宋_GB2312" w:hAnsi="宋体" w:cs="宋体"/>
          <w:sz w:val="32"/>
          <w:szCs w:val="32"/>
        </w:rPr>
      </w:pPr>
      <w:r>
        <w:rPr>
          <w:rFonts w:ascii="仿宋_GB2312" w:eastAsia="仿宋_GB2312" w:hAnsi="宋体" w:cs="宋体" w:hint="eastAsia"/>
          <w:sz w:val="32"/>
          <w:szCs w:val="32"/>
        </w:rPr>
        <w:t>图1</w:t>
      </w:r>
    </w:p>
    <w:p w:rsidR="00D75C39" w:rsidRDefault="003110C4">
      <w:pPr>
        <w:spacing w:line="360" w:lineRule="auto"/>
        <w:rPr>
          <w:rFonts w:ascii="仿宋_GB2312" w:eastAsia="仿宋_GB2312"/>
          <w:sz w:val="32"/>
          <w:szCs w:val="32"/>
        </w:rPr>
      </w:pPr>
      <w:r>
        <w:rPr>
          <w:rFonts w:ascii="仿宋_GB2312" w:eastAsia="仿宋_GB2312" w:hint="eastAsia"/>
          <w:sz w:val="32"/>
          <w:szCs w:val="32"/>
        </w:rPr>
        <w:t>（二）监测能力简介</w:t>
      </w:r>
    </w:p>
    <w:p w:rsidR="00D75C39" w:rsidRDefault="003110C4">
      <w:pPr>
        <w:spacing w:line="360" w:lineRule="auto"/>
        <w:ind w:firstLine="630"/>
        <w:rPr>
          <w:rFonts w:ascii="仿宋_GB2312" w:eastAsia="仿宋_GB2312"/>
          <w:sz w:val="32"/>
          <w:szCs w:val="32"/>
        </w:rPr>
      </w:pPr>
      <w:r>
        <w:rPr>
          <w:rFonts w:ascii="仿宋_GB2312" w:eastAsia="仿宋_GB2312" w:hint="eastAsia"/>
          <w:sz w:val="32"/>
          <w:szCs w:val="32"/>
        </w:rPr>
        <w:t>根据《吉林省环境保护厅关于转发</w:t>
      </w:r>
      <w:r>
        <w:rPr>
          <w:rFonts w:ascii="仿宋_GB2312" w:eastAsia="仿宋_GB2312" w:hAnsi="宋体" w:hint="eastAsia"/>
          <w:sz w:val="32"/>
          <w:szCs w:val="32"/>
        </w:rPr>
        <w:t>〈</w:t>
      </w:r>
      <w:r>
        <w:rPr>
          <w:rFonts w:ascii="仿宋_GB2312" w:eastAsia="仿宋_GB2312" w:hint="eastAsia"/>
          <w:sz w:val="32"/>
          <w:szCs w:val="32"/>
        </w:rPr>
        <w:t>国家重点监控企业自行监测及信息公开办法（试行）</w:t>
      </w:r>
      <w:r>
        <w:rPr>
          <w:rFonts w:ascii="仿宋_GB2312" w:eastAsia="仿宋_GB2312" w:hAnsi="宋体" w:hint="eastAsia"/>
          <w:sz w:val="32"/>
          <w:szCs w:val="32"/>
        </w:rPr>
        <w:t>〉</w:t>
      </w:r>
      <w:r>
        <w:rPr>
          <w:rFonts w:ascii="仿宋_GB2312" w:eastAsia="仿宋_GB2312" w:hint="eastAsia"/>
          <w:sz w:val="32"/>
          <w:szCs w:val="32"/>
        </w:rPr>
        <w:t>和</w:t>
      </w:r>
      <w:r>
        <w:rPr>
          <w:rFonts w:ascii="仿宋_GB2312" w:eastAsia="仿宋_GB2312" w:hAnsi="宋体" w:hint="eastAsia"/>
          <w:sz w:val="32"/>
          <w:szCs w:val="32"/>
        </w:rPr>
        <w:t>〈</w:t>
      </w:r>
      <w:r>
        <w:rPr>
          <w:rFonts w:ascii="仿宋_GB2312" w:eastAsia="仿宋_GB2312" w:hint="eastAsia"/>
          <w:sz w:val="32"/>
          <w:szCs w:val="32"/>
        </w:rPr>
        <w:t>国家重点监控企业污染源监督性监测及信息公开办法（试行）</w:t>
      </w:r>
      <w:r>
        <w:rPr>
          <w:rFonts w:ascii="仿宋_GB2312" w:eastAsia="仿宋_GB2312" w:hAnsi="宋体" w:hint="eastAsia"/>
          <w:sz w:val="32"/>
          <w:szCs w:val="32"/>
        </w:rPr>
        <w:t>〉</w:t>
      </w:r>
      <w:r>
        <w:rPr>
          <w:rFonts w:ascii="仿宋_GB2312" w:eastAsia="仿宋_GB2312" w:hint="eastAsia"/>
          <w:sz w:val="32"/>
          <w:szCs w:val="32"/>
        </w:rPr>
        <w:t>的通知》（吉环办字[2013]73号）的要求，结合长春市环境保护局对国家重点监控企业开展自行监测工作的具体指导意见，长春市双阳区山河污水处理厂对污染源自行监测工作不断推进，制定和完善了企业自行监测方案。</w:t>
      </w:r>
    </w:p>
    <w:p w:rsidR="00D75C39" w:rsidRDefault="003110C4">
      <w:pPr>
        <w:ind w:left="1" w:firstLineChars="200" w:firstLine="640"/>
        <w:rPr>
          <w:rFonts w:ascii="仿宋_GB2312" w:eastAsia="仿宋_GB2312"/>
          <w:sz w:val="32"/>
          <w:szCs w:val="32"/>
        </w:rPr>
      </w:pPr>
      <w:r>
        <w:rPr>
          <w:rFonts w:ascii="仿宋_GB2312" w:eastAsia="仿宋_GB2312" w:hint="eastAsia"/>
          <w:sz w:val="32"/>
          <w:szCs w:val="32"/>
        </w:rPr>
        <w:lastRenderedPageBreak/>
        <w:t>长春市双阳区山河污水处理厂自行监测工作采用了自动监测加手工监测两种手段开展。</w:t>
      </w:r>
    </w:p>
    <w:p w:rsidR="00D75C39" w:rsidRDefault="003110C4">
      <w:pPr>
        <w:ind w:left="1" w:firstLineChars="200" w:firstLine="640"/>
        <w:rPr>
          <w:rFonts w:ascii="仿宋_GB2312" w:eastAsia="仿宋_GB2312"/>
          <w:sz w:val="32"/>
          <w:szCs w:val="32"/>
        </w:rPr>
      </w:pPr>
      <w:r>
        <w:rPr>
          <w:rFonts w:ascii="仿宋_GB2312" w:eastAsia="仿宋_GB2312" w:hint="eastAsia"/>
          <w:sz w:val="32"/>
          <w:szCs w:val="32"/>
        </w:rPr>
        <w:t>目前我单位污染源自动监测设备的操作管理由第三方吉林省同明环境工程有限公司负责。主要有污染源自动监控设备对进、出口污水中的COD、氨氮、总磷、总氮、pH、流量等指标进行24小时连续监测。</w:t>
      </w:r>
    </w:p>
    <w:p w:rsidR="00D75C39" w:rsidRDefault="003110C4">
      <w:pPr>
        <w:ind w:left="1" w:firstLineChars="200" w:firstLine="640"/>
        <w:rPr>
          <w:rFonts w:ascii="仿宋_GB2312" w:eastAsia="仿宋_GB2312"/>
          <w:sz w:val="32"/>
          <w:szCs w:val="32"/>
        </w:rPr>
      </w:pPr>
      <w:r>
        <w:rPr>
          <w:rFonts w:ascii="仿宋_GB2312" w:eastAsia="仿宋_GB2312" w:hint="eastAsia"/>
          <w:sz w:val="32"/>
          <w:szCs w:val="32"/>
        </w:rPr>
        <w:t>同时还建立了实验室，安排相关的化验分析人员每天对进、出口水质指标行手工监测。手工监测工作，有两名专业化验员经过专业培训能够顺利完成污染源每日手工监测COD、氨氮、总磷、总氮、pH、流量、BOD、粪大肠杆菌等指标的任务。</w:t>
      </w:r>
    </w:p>
    <w:p w:rsidR="00D75C39" w:rsidRDefault="003110C4">
      <w:pPr>
        <w:ind w:left="1" w:firstLineChars="200" w:firstLine="640"/>
        <w:rPr>
          <w:rFonts w:ascii="仿宋_GB2312" w:eastAsia="仿宋_GB2312"/>
          <w:sz w:val="32"/>
          <w:szCs w:val="32"/>
        </w:rPr>
      </w:pPr>
      <w:r>
        <w:rPr>
          <w:rFonts w:ascii="仿宋_GB2312" w:eastAsia="仿宋_GB2312" w:hint="eastAsia"/>
          <w:sz w:val="32"/>
          <w:szCs w:val="32"/>
        </w:rPr>
        <w:t>自行监测另委托吉林省世翔环境科技有限公司定期对化学需氧量、氨氮、生化需氧量、悬浮物、pH、总磷、总氮、粪大肠菌群、阴离子表面活性剂、色度、总汞、烷基汞、总镉、总铬、六价铬、总砷、总铅、石油类、动植物油、噪声、大气进行检测。</w:t>
      </w:r>
    </w:p>
    <w:p w:rsidR="00D75C39" w:rsidRDefault="003110C4">
      <w:pPr>
        <w:jc w:val="left"/>
        <w:rPr>
          <w:rFonts w:ascii="楷体_GB2312" w:eastAsia="楷体_GB2312"/>
          <w:b/>
          <w:sz w:val="32"/>
          <w:szCs w:val="32"/>
        </w:rPr>
      </w:pPr>
      <w:r>
        <w:rPr>
          <w:rFonts w:ascii="楷体_GB2312" w:eastAsia="楷体_GB2312" w:hint="eastAsia"/>
          <w:b/>
          <w:sz w:val="32"/>
          <w:szCs w:val="32"/>
        </w:rPr>
        <w:t>二、自行监测内容</w:t>
      </w:r>
    </w:p>
    <w:p w:rsidR="00D75C39" w:rsidRDefault="003110C4">
      <w:pPr>
        <w:numPr>
          <w:ilvl w:val="0"/>
          <w:numId w:val="1"/>
        </w:numPr>
        <w:rPr>
          <w:rFonts w:ascii="仿宋_GB2312" w:eastAsia="仿宋_GB2312"/>
          <w:sz w:val="32"/>
          <w:szCs w:val="32"/>
        </w:rPr>
      </w:pPr>
      <w:r>
        <w:rPr>
          <w:rFonts w:ascii="仿宋_GB2312" w:eastAsia="仿宋_GB2312" w:hint="eastAsia"/>
          <w:sz w:val="32"/>
          <w:szCs w:val="32"/>
        </w:rPr>
        <w:t>监测点位及监测项目设置</w:t>
      </w:r>
    </w:p>
    <w:p w:rsidR="00D75C39" w:rsidRDefault="003110C4">
      <w:pPr>
        <w:rPr>
          <w:rFonts w:ascii="仿宋_GB2312" w:eastAsia="仿宋_GB2312"/>
          <w:sz w:val="32"/>
          <w:szCs w:val="32"/>
        </w:rPr>
      </w:pPr>
      <w:r>
        <w:rPr>
          <w:rFonts w:ascii="仿宋_GB2312" w:eastAsia="仿宋_GB2312" w:hint="eastAsia"/>
          <w:sz w:val="32"/>
          <w:szCs w:val="32"/>
        </w:rPr>
        <w:t>1、污水污染物监测断面及监测项目设置</w:t>
      </w:r>
    </w:p>
    <w:p w:rsidR="00D75C39" w:rsidRDefault="003110C4">
      <w:pPr>
        <w:ind w:firstLineChars="200" w:firstLine="640"/>
        <w:rPr>
          <w:rFonts w:ascii="仿宋_GB2312" w:eastAsia="仿宋_GB2312"/>
          <w:sz w:val="32"/>
          <w:szCs w:val="32"/>
        </w:rPr>
      </w:pPr>
      <w:r>
        <w:rPr>
          <w:rFonts w:ascii="仿宋_GB2312" w:eastAsia="仿宋_GB2312" w:hint="eastAsia"/>
          <w:sz w:val="32"/>
          <w:szCs w:val="32"/>
        </w:rPr>
        <w:t>我厂各有一个污水污染物进水口和排放口，在进水口和排水口分别设置一个监测断面，共设置两个监测断面，进出水口均采用手工和在线监测。具体情况见表1。</w:t>
      </w:r>
    </w:p>
    <w:p w:rsidR="00D75C39" w:rsidRDefault="00D75C39">
      <w:pPr>
        <w:jc w:val="center"/>
        <w:rPr>
          <w:rFonts w:ascii="仿宋_GB2312" w:eastAsia="仿宋_GB2312"/>
          <w:b/>
          <w:szCs w:val="21"/>
        </w:rPr>
      </w:pPr>
    </w:p>
    <w:p w:rsidR="00D75C39" w:rsidRDefault="003110C4">
      <w:pPr>
        <w:jc w:val="center"/>
        <w:rPr>
          <w:rFonts w:ascii="仿宋_GB2312" w:eastAsia="仿宋_GB2312"/>
          <w:b/>
          <w:szCs w:val="21"/>
        </w:rPr>
      </w:pPr>
      <w:r>
        <w:rPr>
          <w:rFonts w:ascii="仿宋_GB2312" w:eastAsia="仿宋_GB2312" w:hint="eastAsia"/>
          <w:b/>
          <w:szCs w:val="21"/>
        </w:rPr>
        <w:t>表1污水污染物监测断面及监测项目设置</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24"/>
        <w:gridCol w:w="2376"/>
        <w:gridCol w:w="1224"/>
        <w:gridCol w:w="3410"/>
        <w:gridCol w:w="6"/>
      </w:tblGrid>
      <w:tr w:rsidR="00D75C39">
        <w:trPr>
          <w:trHeight w:val="369"/>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监测点位</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8"/>
                <w:szCs w:val="28"/>
              </w:rPr>
              <w:t>排口编号</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1#</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污水总排放口</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DW001</w:t>
            </w:r>
          </w:p>
        </w:tc>
      </w:tr>
      <w:tr w:rsidR="00D75C39">
        <w:trPr>
          <w:trHeight w:val="90"/>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2#</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lang w:eastAsia="zh-CN"/>
              </w:rPr>
              <w:t>厂界东侧院界外1m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DZ001</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3#</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lang w:eastAsia="zh-CN"/>
              </w:rPr>
              <w:t>厂界南侧院界外1m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DZ002</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4#</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lang w:eastAsia="zh-CN"/>
              </w:rPr>
              <w:t>厂界西侧院界外1m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DZ003</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5#</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lang w:eastAsia="zh-CN"/>
              </w:rPr>
              <w:t>厂界北侧院界外1m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DZ004</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6#</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sz w:val="28"/>
                <w:szCs w:val="28"/>
                <w:lang w:eastAsia="zh-CN"/>
              </w:rPr>
              <w:t>1#</w:t>
            </w:r>
            <w:r>
              <w:rPr>
                <w:rFonts w:ascii="仿宋" w:eastAsia="仿宋" w:hAnsi="仿宋" w:hint="eastAsia"/>
                <w:sz w:val="28"/>
                <w:szCs w:val="28"/>
                <w:lang w:eastAsia="zh-CN"/>
              </w:rPr>
              <w:t>厂界</w:t>
            </w:r>
            <w:r>
              <w:rPr>
                <w:rFonts w:ascii="仿宋" w:eastAsia="仿宋" w:hAnsi="仿宋"/>
                <w:sz w:val="28"/>
                <w:szCs w:val="28"/>
                <w:lang w:eastAsia="zh-CN"/>
              </w:rPr>
              <w:t>上风向</w:t>
            </w:r>
            <w:r>
              <w:rPr>
                <w:rFonts w:ascii="仿宋" w:eastAsia="仿宋" w:hAnsi="仿宋" w:hint="eastAsia"/>
                <w:sz w:val="28"/>
                <w:szCs w:val="28"/>
                <w:lang w:eastAsia="zh-CN"/>
              </w:rPr>
              <w:t>20m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DQ001</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7#</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sz w:val="28"/>
                <w:szCs w:val="28"/>
                <w:lang w:eastAsia="zh-CN"/>
              </w:rPr>
              <w:t>2#</w:t>
            </w:r>
            <w:r>
              <w:rPr>
                <w:rFonts w:ascii="仿宋" w:eastAsia="仿宋" w:hAnsi="仿宋" w:hint="eastAsia"/>
                <w:sz w:val="28"/>
                <w:szCs w:val="28"/>
                <w:lang w:eastAsia="zh-CN"/>
              </w:rPr>
              <w:t>厂界下</w:t>
            </w:r>
            <w:r>
              <w:rPr>
                <w:rFonts w:ascii="仿宋" w:eastAsia="仿宋" w:hAnsi="仿宋"/>
                <w:sz w:val="28"/>
                <w:szCs w:val="28"/>
                <w:lang w:eastAsia="zh-CN"/>
              </w:rPr>
              <w:t>风向</w:t>
            </w:r>
            <w:r>
              <w:rPr>
                <w:rFonts w:ascii="仿宋" w:eastAsia="仿宋" w:hAnsi="仿宋" w:hint="eastAsia"/>
                <w:sz w:val="28"/>
                <w:szCs w:val="28"/>
                <w:lang w:eastAsia="zh-CN"/>
              </w:rPr>
              <w:t>10m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DQ002</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8#</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lang w:eastAsia="zh-CN"/>
              </w:rPr>
              <w:t>3</w:t>
            </w:r>
            <w:r>
              <w:rPr>
                <w:rFonts w:ascii="仿宋" w:eastAsia="仿宋" w:hAnsi="仿宋"/>
                <w:sz w:val="28"/>
                <w:szCs w:val="28"/>
                <w:lang w:eastAsia="zh-CN"/>
              </w:rPr>
              <w:t>#</w:t>
            </w:r>
            <w:r>
              <w:rPr>
                <w:rFonts w:ascii="仿宋" w:eastAsia="仿宋" w:hAnsi="仿宋" w:hint="eastAsia"/>
                <w:sz w:val="28"/>
                <w:szCs w:val="28"/>
                <w:lang w:eastAsia="zh-CN"/>
              </w:rPr>
              <w:t>厂界下</w:t>
            </w:r>
            <w:r>
              <w:rPr>
                <w:rFonts w:ascii="仿宋" w:eastAsia="仿宋" w:hAnsi="仿宋"/>
                <w:sz w:val="28"/>
                <w:szCs w:val="28"/>
                <w:lang w:eastAsia="zh-CN"/>
              </w:rPr>
              <w:t>风向</w:t>
            </w:r>
            <w:r>
              <w:rPr>
                <w:rFonts w:ascii="仿宋" w:eastAsia="仿宋" w:hAnsi="仿宋" w:hint="eastAsia"/>
                <w:sz w:val="28"/>
                <w:szCs w:val="28"/>
                <w:lang w:eastAsia="zh-CN"/>
              </w:rPr>
              <w:t>10m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DQ003</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9#</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w:t>
            </w:r>
            <w:r>
              <w:rPr>
                <w:rFonts w:ascii="仿宋" w:eastAsia="仿宋" w:hAnsi="仿宋" w:hint="eastAsia"/>
                <w:sz w:val="28"/>
                <w:szCs w:val="28"/>
                <w:lang w:eastAsia="zh-CN"/>
              </w:rPr>
              <w:t>厂界下</w:t>
            </w:r>
            <w:r>
              <w:rPr>
                <w:rFonts w:ascii="仿宋" w:eastAsia="仿宋" w:hAnsi="仿宋"/>
                <w:sz w:val="28"/>
                <w:szCs w:val="28"/>
                <w:lang w:eastAsia="zh-CN"/>
              </w:rPr>
              <w:t>风向</w:t>
            </w:r>
            <w:r>
              <w:rPr>
                <w:rFonts w:ascii="仿宋" w:eastAsia="仿宋" w:hAnsi="仿宋" w:hint="eastAsia"/>
                <w:sz w:val="28"/>
                <w:szCs w:val="28"/>
                <w:lang w:eastAsia="zh-CN"/>
              </w:rPr>
              <w:t>10m</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8"/>
                <w:szCs w:val="28"/>
                <w:lang w:eastAsia="zh-CN"/>
              </w:rPr>
              <w:t>DQ004</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10#</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粗格栅废气排放口</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DA001</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11#</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细格栅废气排放口</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DA002</w:t>
            </w:r>
          </w:p>
        </w:tc>
      </w:tr>
      <w:tr w:rsidR="00D75C39">
        <w:trPr>
          <w:jc w:val="center"/>
        </w:trPr>
        <w:tc>
          <w:tcPr>
            <w:tcW w:w="1512"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12#</w:t>
            </w:r>
          </w:p>
        </w:tc>
        <w:tc>
          <w:tcPr>
            <w:tcW w:w="3600"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污泥间废气排放口</w:t>
            </w:r>
          </w:p>
        </w:tc>
        <w:tc>
          <w:tcPr>
            <w:tcW w:w="3416" w:type="dxa"/>
            <w:gridSpan w:val="2"/>
            <w:noWrap/>
            <w:vAlign w:val="center"/>
          </w:tcPr>
          <w:p w:rsidR="00D75C39" w:rsidRDefault="003110C4">
            <w:pPr>
              <w:pStyle w:val="a8"/>
              <w:snapToGrid w:val="0"/>
              <w:spacing w:line="240" w:lineRule="auto"/>
              <w:ind w:left="0"/>
              <w:jc w:val="center"/>
              <w:rPr>
                <w:rFonts w:ascii="仿宋" w:eastAsia="仿宋" w:hAnsi="仿宋"/>
                <w:sz w:val="28"/>
                <w:szCs w:val="28"/>
                <w:lang w:eastAsia="zh-CN"/>
              </w:rPr>
            </w:pPr>
            <w:r>
              <w:rPr>
                <w:rFonts w:ascii="仿宋" w:eastAsia="仿宋" w:hAnsi="仿宋" w:hint="eastAsia"/>
                <w:sz w:val="28"/>
                <w:szCs w:val="28"/>
                <w:lang w:eastAsia="zh-CN"/>
              </w:rPr>
              <w:t>DA003</w:t>
            </w:r>
          </w:p>
        </w:tc>
      </w:tr>
      <w:tr w:rsidR="00D75C39">
        <w:trPr>
          <w:jc w:val="center"/>
        </w:trPr>
        <w:tc>
          <w:tcPr>
            <w:tcW w:w="8528" w:type="dxa"/>
            <w:gridSpan w:val="6"/>
            <w:noWrap/>
            <w:vAlign w:val="center"/>
          </w:tcPr>
          <w:p w:rsidR="00D75C39" w:rsidRDefault="003110C4">
            <w:pPr>
              <w:pStyle w:val="a8"/>
              <w:snapToGrid w:val="0"/>
              <w:spacing w:line="240" w:lineRule="auto"/>
              <w:ind w:left="0"/>
              <w:jc w:val="center"/>
              <w:rPr>
                <w:rFonts w:ascii="仿宋" w:eastAsia="仿宋" w:hAnsi="仿宋"/>
                <w:sz w:val="28"/>
                <w:szCs w:val="28"/>
              </w:rPr>
            </w:pPr>
            <w:r>
              <w:rPr>
                <w:rFonts w:ascii="仿宋" w:eastAsia="仿宋" w:hAnsi="仿宋" w:hint="eastAsia"/>
                <w:sz w:val="28"/>
                <w:szCs w:val="28"/>
              </w:rPr>
              <w:t>点位示意图</w:t>
            </w:r>
          </w:p>
        </w:tc>
      </w:tr>
      <w:tr w:rsidR="00D75C39">
        <w:trPr>
          <w:trHeight w:val="6576"/>
          <w:jc w:val="center"/>
        </w:trPr>
        <w:tc>
          <w:tcPr>
            <w:tcW w:w="8528" w:type="dxa"/>
            <w:gridSpan w:val="6"/>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noProof/>
                <w:lang w:eastAsia="zh-CN" w:bidi="ar-SA"/>
              </w:rPr>
              <w:drawing>
                <wp:inline distT="0" distB="0" distL="114300" distR="114300">
                  <wp:extent cx="5272405" cy="3853180"/>
                  <wp:effectExtent l="0" t="0" r="444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72405" cy="3853180"/>
                          </a:xfrm>
                          <a:prstGeom prst="rect">
                            <a:avLst/>
                          </a:prstGeom>
                          <a:noFill/>
                          <a:ln>
                            <a:noFill/>
                          </a:ln>
                        </pic:spPr>
                      </pic:pic>
                    </a:graphicData>
                  </a:graphic>
                </wp:inline>
              </w:drawing>
            </w:r>
          </w:p>
          <w:p w:rsidR="00D75C39" w:rsidRDefault="00D75C39">
            <w:pPr>
              <w:pStyle w:val="a8"/>
              <w:snapToGrid w:val="0"/>
              <w:spacing w:line="240" w:lineRule="auto"/>
              <w:ind w:left="0"/>
              <w:jc w:val="center"/>
              <w:rPr>
                <w:rFonts w:ascii="仿宋" w:eastAsia="仿宋" w:hAnsi="仿宋"/>
                <w:sz w:val="21"/>
                <w:szCs w:val="21"/>
                <w:lang w:eastAsia="zh-CN"/>
              </w:rPr>
            </w:pPr>
          </w:p>
          <w:p w:rsidR="00D75C39" w:rsidRDefault="00D75C39">
            <w:pPr>
              <w:pStyle w:val="a8"/>
              <w:snapToGrid w:val="0"/>
              <w:spacing w:line="240" w:lineRule="auto"/>
              <w:ind w:left="0"/>
              <w:jc w:val="center"/>
              <w:rPr>
                <w:rFonts w:ascii="仿宋" w:eastAsia="仿宋" w:hAnsi="仿宋"/>
                <w:sz w:val="21"/>
                <w:szCs w:val="21"/>
                <w:lang w:eastAsia="zh-CN"/>
              </w:rPr>
            </w:pPr>
          </w:p>
          <w:p w:rsidR="000D69D4" w:rsidRDefault="000D69D4">
            <w:pPr>
              <w:pStyle w:val="a8"/>
              <w:snapToGrid w:val="0"/>
              <w:spacing w:line="240" w:lineRule="auto"/>
              <w:ind w:left="0"/>
              <w:jc w:val="center"/>
              <w:rPr>
                <w:rFonts w:ascii="仿宋" w:eastAsia="仿宋" w:hAnsi="仿宋"/>
                <w:sz w:val="21"/>
                <w:szCs w:val="21"/>
                <w:lang w:eastAsia="zh-CN"/>
              </w:rPr>
            </w:pPr>
          </w:p>
          <w:p w:rsidR="000D69D4" w:rsidRDefault="000D69D4">
            <w:pPr>
              <w:pStyle w:val="a8"/>
              <w:snapToGrid w:val="0"/>
              <w:spacing w:line="240" w:lineRule="auto"/>
              <w:ind w:left="0"/>
              <w:jc w:val="center"/>
              <w:rPr>
                <w:rFonts w:ascii="仿宋" w:eastAsia="仿宋" w:hAnsi="仿宋"/>
                <w:sz w:val="21"/>
                <w:szCs w:val="21"/>
                <w:lang w:eastAsia="zh-CN"/>
              </w:rPr>
            </w:pPr>
          </w:p>
        </w:tc>
      </w:tr>
      <w:tr w:rsidR="00D75C39">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172"/>
          <w:jc w:val="center"/>
        </w:trPr>
        <w:tc>
          <w:tcPr>
            <w:tcW w:w="1188" w:type="dxa"/>
            <w:noWrap/>
            <w:vAlign w:val="center"/>
          </w:tcPr>
          <w:p w:rsidR="00D75C39" w:rsidRDefault="003110C4">
            <w:pPr>
              <w:jc w:val="center"/>
              <w:rPr>
                <w:rFonts w:ascii="仿宋_GB2312" w:eastAsia="仿宋_GB2312"/>
                <w:b/>
                <w:sz w:val="28"/>
                <w:szCs w:val="28"/>
              </w:rPr>
            </w:pPr>
            <w:r>
              <w:rPr>
                <w:rFonts w:ascii="仿宋_GB2312" w:eastAsia="仿宋_GB2312" w:hint="eastAsia"/>
                <w:b/>
                <w:sz w:val="28"/>
                <w:szCs w:val="28"/>
              </w:rPr>
              <w:lastRenderedPageBreak/>
              <w:t>序号</w:t>
            </w:r>
          </w:p>
        </w:tc>
        <w:tc>
          <w:tcPr>
            <w:tcW w:w="2700" w:type="dxa"/>
            <w:gridSpan w:val="2"/>
            <w:noWrap/>
            <w:vAlign w:val="center"/>
          </w:tcPr>
          <w:p w:rsidR="00D75C39" w:rsidRDefault="003110C4">
            <w:pPr>
              <w:jc w:val="center"/>
              <w:rPr>
                <w:rFonts w:ascii="仿宋_GB2312" w:eastAsia="仿宋_GB2312"/>
                <w:b/>
                <w:sz w:val="28"/>
                <w:szCs w:val="28"/>
              </w:rPr>
            </w:pPr>
            <w:r>
              <w:rPr>
                <w:rFonts w:ascii="仿宋_GB2312" w:eastAsia="仿宋_GB2312" w:hint="eastAsia"/>
                <w:b/>
                <w:sz w:val="28"/>
                <w:szCs w:val="28"/>
              </w:rPr>
              <w:t>监测断面</w:t>
            </w:r>
          </w:p>
        </w:tc>
        <w:tc>
          <w:tcPr>
            <w:tcW w:w="4634" w:type="dxa"/>
            <w:gridSpan w:val="2"/>
            <w:noWrap/>
            <w:vAlign w:val="center"/>
          </w:tcPr>
          <w:p w:rsidR="00D75C39" w:rsidRDefault="003110C4">
            <w:pPr>
              <w:jc w:val="center"/>
              <w:rPr>
                <w:rFonts w:ascii="仿宋_GB2312" w:eastAsia="仿宋_GB2312"/>
                <w:b/>
                <w:sz w:val="28"/>
                <w:szCs w:val="28"/>
              </w:rPr>
            </w:pPr>
            <w:r>
              <w:rPr>
                <w:rFonts w:ascii="仿宋_GB2312" w:eastAsia="仿宋_GB2312" w:hint="eastAsia"/>
                <w:b/>
                <w:sz w:val="28"/>
                <w:szCs w:val="28"/>
              </w:rPr>
              <w:t>监测项目</w:t>
            </w:r>
          </w:p>
        </w:tc>
      </w:tr>
      <w:tr w:rsidR="00D75C39">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1</w:t>
            </w:r>
          </w:p>
        </w:tc>
        <w:tc>
          <w:tcPr>
            <w:tcW w:w="2700"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进水口</w:t>
            </w:r>
          </w:p>
        </w:tc>
        <w:tc>
          <w:tcPr>
            <w:tcW w:w="4634"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COD、氨氮、总磷、总氮、pH、</w:t>
            </w:r>
          </w:p>
        </w:tc>
      </w:tr>
      <w:tr w:rsidR="00D75C39">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340"/>
          <w:jc w:val="center"/>
        </w:trPr>
        <w:tc>
          <w:tcPr>
            <w:tcW w:w="1188" w:type="dxa"/>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2</w:t>
            </w:r>
          </w:p>
        </w:tc>
        <w:tc>
          <w:tcPr>
            <w:tcW w:w="2700"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出水口</w:t>
            </w:r>
          </w:p>
        </w:tc>
        <w:tc>
          <w:tcPr>
            <w:tcW w:w="4634"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流量、</w:t>
            </w:r>
            <w:r>
              <w:rPr>
                <w:rFonts w:ascii="仿宋" w:eastAsia="仿宋" w:hAnsi="仿宋" w:hint="eastAsia"/>
                <w:sz w:val="28"/>
                <w:szCs w:val="28"/>
              </w:rPr>
              <w:t>化学需氧量、氨氮、生化需氧量、悬浮物、pH、总磷、总氮、粪大肠菌群、阴离子表面活性剂、色度、总汞、烷基汞、总镉、总铬、六价铬、总砷、总铅、石油类、动植物油、噪声</w:t>
            </w:r>
          </w:p>
        </w:tc>
      </w:tr>
      <w:tr w:rsidR="00D75C39">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3</w:t>
            </w:r>
          </w:p>
        </w:tc>
        <w:tc>
          <w:tcPr>
            <w:tcW w:w="2700"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噪声</w:t>
            </w:r>
          </w:p>
        </w:tc>
        <w:tc>
          <w:tcPr>
            <w:tcW w:w="4634"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噪声</w:t>
            </w:r>
          </w:p>
        </w:tc>
      </w:tr>
      <w:tr w:rsidR="00D75C39">
        <w:tblPrEx>
          <w:tblBorders>
            <w:top w:val="thinThickSmallGap" w:sz="24" w:space="0" w:color="auto"/>
            <w:left w:val="none" w:sz="0" w:space="0" w:color="auto"/>
            <w:bottom w:val="thickThinSmallGap" w:sz="24" w:space="0" w:color="auto"/>
            <w:right w:val="none" w:sz="0" w:space="0" w:color="auto"/>
            <w:insideH w:val="single" w:sz="6" w:space="0" w:color="auto"/>
            <w:insideV w:val="single" w:sz="6" w:space="0" w:color="auto"/>
          </w:tblBorders>
        </w:tblPrEx>
        <w:trPr>
          <w:gridAfter w:val="1"/>
          <w:wAfter w:w="6" w:type="dxa"/>
          <w:trHeight w:val="90"/>
          <w:jc w:val="center"/>
        </w:trPr>
        <w:tc>
          <w:tcPr>
            <w:tcW w:w="1188" w:type="dxa"/>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4</w:t>
            </w:r>
          </w:p>
        </w:tc>
        <w:tc>
          <w:tcPr>
            <w:tcW w:w="2700" w:type="dxa"/>
            <w:gridSpan w:val="2"/>
            <w:noWrap/>
            <w:vAlign w:val="center"/>
          </w:tcPr>
          <w:p w:rsidR="00D75C39" w:rsidRDefault="003110C4">
            <w:pPr>
              <w:jc w:val="center"/>
              <w:rPr>
                <w:rFonts w:ascii="仿宋_GB2312" w:eastAsia="仿宋_GB2312"/>
                <w:sz w:val="28"/>
                <w:szCs w:val="28"/>
              </w:rPr>
            </w:pPr>
            <w:r>
              <w:rPr>
                <w:rFonts w:ascii="仿宋_GB2312" w:eastAsia="仿宋_GB2312" w:hint="eastAsia"/>
                <w:sz w:val="28"/>
                <w:szCs w:val="28"/>
              </w:rPr>
              <w:t>废气排放口</w:t>
            </w:r>
          </w:p>
        </w:tc>
        <w:tc>
          <w:tcPr>
            <w:tcW w:w="4634" w:type="dxa"/>
            <w:gridSpan w:val="2"/>
            <w:noWrap/>
            <w:vAlign w:val="center"/>
          </w:tcPr>
          <w:p w:rsidR="00D75C39" w:rsidRDefault="003110C4">
            <w:pPr>
              <w:ind w:firstLineChars="200" w:firstLine="560"/>
              <w:jc w:val="center"/>
              <w:rPr>
                <w:rFonts w:ascii="仿宋" w:eastAsia="仿宋" w:hAnsi="仿宋"/>
                <w:sz w:val="28"/>
                <w:szCs w:val="28"/>
              </w:rPr>
            </w:pPr>
            <w:r>
              <w:rPr>
                <w:rFonts w:ascii="仿宋" w:eastAsia="仿宋" w:hAnsi="仿宋"/>
                <w:sz w:val="28"/>
                <w:szCs w:val="28"/>
              </w:rPr>
              <w:t>氨</w:t>
            </w:r>
            <w:r>
              <w:rPr>
                <w:rFonts w:ascii="仿宋" w:eastAsia="仿宋" w:hAnsi="仿宋" w:hint="eastAsia"/>
                <w:sz w:val="28"/>
                <w:szCs w:val="28"/>
              </w:rPr>
              <w:t>、</w:t>
            </w:r>
            <w:r>
              <w:rPr>
                <w:rFonts w:ascii="仿宋" w:eastAsia="仿宋" w:hAnsi="仿宋"/>
                <w:sz w:val="28"/>
                <w:szCs w:val="28"/>
              </w:rPr>
              <w:t>硫化氢</w:t>
            </w:r>
            <w:r>
              <w:rPr>
                <w:rFonts w:ascii="仿宋" w:eastAsia="仿宋" w:hAnsi="仿宋" w:hint="eastAsia"/>
                <w:sz w:val="28"/>
                <w:szCs w:val="28"/>
              </w:rPr>
              <w:t>、</w:t>
            </w:r>
            <w:r>
              <w:rPr>
                <w:rFonts w:ascii="仿宋" w:eastAsia="仿宋" w:hAnsi="仿宋"/>
                <w:sz w:val="28"/>
                <w:szCs w:val="28"/>
              </w:rPr>
              <w:t>臭气浓度</w:t>
            </w:r>
          </w:p>
        </w:tc>
      </w:tr>
    </w:tbl>
    <w:p w:rsidR="00D75C39" w:rsidRDefault="00D75C39">
      <w:pPr>
        <w:ind w:firstLineChars="200" w:firstLine="640"/>
        <w:rPr>
          <w:sz w:val="32"/>
          <w:szCs w:val="32"/>
        </w:rPr>
      </w:pPr>
    </w:p>
    <w:p w:rsidR="00D75C39" w:rsidRDefault="003110C4">
      <w:pPr>
        <w:numPr>
          <w:ilvl w:val="0"/>
          <w:numId w:val="1"/>
        </w:numPr>
        <w:rPr>
          <w:rFonts w:ascii="仿宋_GB2312" w:eastAsia="仿宋_GB2312"/>
          <w:color w:val="000000"/>
          <w:sz w:val="32"/>
          <w:szCs w:val="32"/>
        </w:rPr>
      </w:pPr>
      <w:r>
        <w:rPr>
          <w:rFonts w:ascii="仿宋_GB2312" w:eastAsia="仿宋_GB2312" w:hint="eastAsia"/>
          <w:color w:val="000000"/>
          <w:sz w:val="32"/>
          <w:szCs w:val="32"/>
        </w:rPr>
        <w:t>监测方法及方法依据</w:t>
      </w:r>
    </w:p>
    <w:p w:rsidR="00D75C39" w:rsidRDefault="003110C4">
      <w:pPr>
        <w:jc w:val="center"/>
        <w:rPr>
          <w:rFonts w:ascii="仿宋_GB2312" w:eastAsia="仿宋_GB2312"/>
          <w:b/>
          <w:color w:val="000000"/>
          <w:szCs w:val="21"/>
        </w:rPr>
      </w:pPr>
      <w:r>
        <w:rPr>
          <w:rFonts w:ascii="仿宋_GB2312" w:eastAsia="仿宋_GB2312" w:hint="eastAsia"/>
          <w:b/>
          <w:color w:val="000000"/>
          <w:szCs w:val="21"/>
        </w:rPr>
        <w:t>表2  污水污染物自动监测方法、监测测仪器及检出限</w:t>
      </w:r>
    </w:p>
    <w:tbl>
      <w:tblPr>
        <w:tblW w:w="8099"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821"/>
        <w:gridCol w:w="2231"/>
        <w:gridCol w:w="1711"/>
        <w:gridCol w:w="1112"/>
        <w:gridCol w:w="1112"/>
        <w:gridCol w:w="1112"/>
      </w:tblGrid>
      <w:tr w:rsidR="00D75C39">
        <w:trPr>
          <w:trHeight w:val="1024"/>
          <w:jc w:val="center"/>
        </w:trPr>
        <w:tc>
          <w:tcPr>
            <w:tcW w:w="821"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项目名称</w:t>
            </w:r>
          </w:p>
        </w:tc>
        <w:tc>
          <w:tcPr>
            <w:tcW w:w="2231"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监测方法</w:t>
            </w:r>
          </w:p>
        </w:tc>
        <w:tc>
          <w:tcPr>
            <w:tcW w:w="1711"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仪器设备名称及型号</w:t>
            </w:r>
          </w:p>
        </w:tc>
        <w:tc>
          <w:tcPr>
            <w:tcW w:w="1112"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最低检出限</w:t>
            </w:r>
          </w:p>
        </w:tc>
        <w:tc>
          <w:tcPr>
            <w:tcW w:w="1112"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检测频次</w:t>
            </w:r>
          </w:p>
        </w:tc>
        <w:tc>
          <w:tcPr>
            <w:tcW w:w="1112"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监测结果公开时限</w:t>
            </w:r>
          </w:p>
        </w:tc>
      </w:tr>
      <w:tr w:rsidR="00D75C39">
        <w:trPr>
          <w:trHeight w:val="633"/>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sz w:val="32"/>
                <w:szCs w:val="32"/>
              </w:rPr>
              <w:t>COD</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重铬酸钾分光光度法</w:t>
            </w:r>
          </w:p>
        </w:tc>
        <w:tc>
          <w:tcPr>
            <w:tcW w:w="1711" w:type="dxa"/>
            <w:noWrap/>
            <w:vAlign w:val="center"/>
          </w:tcPr>
          <w:p w:rsidR="00D75C39" w:rsidRDefault="003110C4">
            <w:pPr>
              <w:jc w:val="center"/>
              <w:rPr>
                <w:rFonts w:ascii="仿宋_GB2312" w:eastAsia="仿宋_GB2312"/>
                <w:sz w:val="24"/>
              </w:rPr>
            </w:pPr>
            <w:r>
              <w:rPr>
                <w:rFonts w:ascii="仿宋_GB2312" w:eastAsia="仿宋_GB2312" w:hint="eastAsia"/>
                <w:sz w:val="24"/>
              </w:rPr>
              <w:t>CODcr水质在线自动监测仪器</w:t>
            </w:r>
          </w:p>
          <w:p w:rsidR="00D75C39" w:rsidRDefault="003110C4">
            <w:pPr>
              <w:jc w:val="center"/>
              <w:rPr>
                <w:rFonts w:ascii="仿宋_GB2312" w:eastAsia="仿宋_GB2312"/>
                <w:sz w:val="24"/>
              </w:rPr>
            </w:pPr>
            <w:r>
              <w:rPr>
                <w:rFonts w:ascii="仿宋_GB2312" w:eastAsia="仿宋_GB2312" w:hint="eastAsia"/>
                <w:sz w:val="24"/>
              </w:rPr>
              <w:t>AG-C07型</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10mg/L</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12次/天</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r w:rsidR="00D75C39">
        <w:trPr>
          <w:trHeight w:val="633"/>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氨氮</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纳氏试剂比色法</w:t>
            </w:r>
          </w:p>
        </w:tc>
        <w:tc>
          <w:tcPr>
            <w:tcW w:w="1711" w:type="dxa"/>
            <w:noWrap/>
            <w:vAlign w:val="center"/>
          </w:tcPr>
          <w:p w:rsidR="00D75C39" w:rsidRDefault="003110C4">
            <w:pPr>
              <w:jc w:val="center"/>
              <w:rPr>
                <w:rFonts w:ascii="仿宋_GB2312" w:eastAsia="仿宋_GB2312"/>
                <w:sz w:val="24"/>
              </w:rPr>
            </w:pPr>
            <w:r>
              <w:rPr>
                <w:rFonts w:ascii="仿宋_GB2312" w:eastAsia="仿宋_GB2312" w:hint="eastAsia"/>
                <w:sz w:val="24"/>
              </w:rPr>
              <w:t>氨氮水质在线自动监测仪器</w:t>
            </w:r>
          </w:p>
          <w:p w:rsidR="00D75C39" w:rsidRDefault="003110C4">
            <w:pPr>
              <w:jc w:val="center"/>
              <w:rPr>
                <w:rFonts w:ascii="仿宋_GB2312" w:eastAsia="仿宋_GB2312"/>
                <w:sz w:val="24"/>
              </w:rPr>
            </w:pPr>
            <w:r>
              <w:rPr>
                <w:rFonts w:ascii="仿宋_GB2312" w:eastAsia="仿宋_GB2312" w:hint="eastAsia"/>
                <w:sz w:val="24"/>
              </w:rPr>
              <w:t>AG-N07型</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0mg/L</w:t>
            </w:r>
          </w:p>
        </w:tc>
        <w:tc>
          <w:tcPr>
            <w:tcW w:w="1112" w:type="dxa"/>
            <w:noWrap/>
            <w:vAlign w:val="center"/>
          </w:tcPr>
          <w:p w:rsidR="00D75C39" w:rsidRDefault="003110C4">
            <w:pPr>
              <w:jc w:val="center"/>
              <w:rPr>
                <w:rFonts w:ascii="仿宋_GB2312" w:eastAsia="仿宋_GB2312"/>
                <w:color w:val="000000"/>
                <w:sz w:val="24"/>
              </w:rPr>
            </w:pPr>
            <w:bookmarkStart w:id="0" w:name="_GoBack"/>
            <w:bookmarkEnd w:id="0"/>
            <w:r>
              <w:rPr>
                <w:rFonts w:ascii="仿宋_GB2312" w:eastAsia="仿宋_GB2312" w:hint="eastAsia"/>
                <w:color w:val="000000"/>
                <w:sz w:val="24"/>
              </w:rPr>
              <w:t>12次/天</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r w:rsidR="00D75C39">
        <w:trPr>
          <w:trHeight w:val="633"/>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总磷</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过硫酸钾消解-磷钼蓝光度法</w:t>
            </w:r>
          </w:p>
        </w:tc>
        <w:tc>
          <w:tcPr>
            <w:tcW w:w="1711" w:type="dxa"/>
            <w:noWrap/>
            <w:vAlign w:val="center"/>
          </w:tcPr>
          <w:p w:rsidR="00D75C39" w:rsidRDefault="003110C4">
            <w:pPr>
              <w:jc w:val="center"/>
              <w:rPr>
                <w:rFonts w:ascii="仿宋_GB2312" w:eastAsia="仿宋_GB2312"/>
                <w:sz w:val="24"/>
              </w:rPr>
            </w:pPr>
            <w:r>
              <w:rPr>
                <w:rFonts w:ascii="仿宋_GB2312" w:eastAsia="仿宋_GB2312" w:hint="eastAsia"/>
                <w:sz w:val="24"/>
              </w:rPr>
              <w:t>总磷水质在线自动监测仪器</w:t>
            </w:r>
          </w:p>
          <w:p w:rsidR="00D75C39" w:rsidRDefault="003110C4">
            <w:pPr>
              <w:jc w:val="center"/>
              <w:rPr>
                <w:rFonts w:ascii="仿宋_GB2312" w:eastAsia="仿宋_GB2312"/>
                <w:sz w:val="24"/>
              </w:rPr>
            </w:pPr>
            <w:r>
              <w:rPr>
                <w:rFonts w:ascii="仿宋_GB2312" w:eastAsia="仿宋_GB2312" w:hint="eastAsia"/>
                <w:sz w:val="24"/>
              </w:rPr>
              <w:t>AG-TP07型</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0mg/L</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12次/天</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r w:rsidR="00D75C39">
        <w:trPr>
          <w:trHeight w:val="944"/>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总氮</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碱性过硫酸钾消解紫外分光光度法</w:t>
            </w:r>
          </w:p>
        </w:tc>
        <w:tc>
          <w:tcPr>
            <w:tcW w:w="1711" w:type="dxa"/>
            <w:noWrap/>
            <w:vAlign w:val="center"/>
          </w:tcPr>
          <w:p w:rsidR="00D75C39" w:rsidRDefault="003110C4">
            <w:pPr>
              <w:jc w:val="center"/>
              <w:rPr>
                <w:rFonts w:ascii="仿宋_GB2312" w:eastAsia="仿宋_GB2312"/>
                <w:sz w:val="24"/>
              </w:rPr>
            </w:pPr>
            <w:r>
              <w:rPr>
                <w:rFonts w:ascii="仿宋_GB2312" w:eastAsia="仿宋_GB2312" w:hint="eastAsia"/>
                <w:sz w:val="24"/>
              </w:rPr>
              <w:t>总氮水质在线自动监测仪器</w:t>
            </w:r>
          </w:p>
          <w:p w:rsidR="00D75C39" w:rsidRDefault="003110C4">
            <w:pPr>
              <w:jc w:val="center"/>
              <w:rPr>
                <w:rFonts w:ascii="仿宋_GB2312" w:eastAsia="仿宋_GB2312"/>
                <w:sz w:val="24"/>
              </w:rPr>
            </w:pPr>
            <w:r>
              <w:rPr>
                <w:rFonts w:ascii="仿宋_GB2312" w:eastAsia="仿宋_GB2312" w:hint="eastAsia"/>
                <w:sz w:val="24"/>
              </w:rPr>
              <w:t>AG-TN07型</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0mg/L</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12次/天</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r w:rsidR="00D75C39">
        <w:trPr>
          <w:trHeight w:val="633"/>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lastRenderedPageBreak/>
              <w:t>PH值</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玻璃电极法</w:t>
            </w:r>
          </w:p>
        </w:tc>
        <w:tc>
          <w:tcPr>
            <w:tcW w:w="1711" w:type="dxa"/>
            <w:noWrap/>
            <w:vAlign w:val="center"/>
          </w:tcPr>
          <w:p w:rsidR="00D75C39" w:rsidRDefault="003110C4">
            <w:pPr>
              <w:jc w:val="center"/>
              <w:rPr>
                <w:rFonts w:ascii="仿宋_GB2312" w:eastAsia="仿宋_GB2312"/>
                <w:sz w:val="24"/>
              </w:rPr>
            </w:pPr>
            <w:r>
              <w:rPr>
                <w:rFonts w:hint="eastAsia"/>
              </w:rPr>
              <w:t>PH-10</w:t>
            </w:r>
          </w:p>
        </w:tc>
        <w:tc>
          <w:tcPr>
            <w:tcW w:w="1112"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w:t>
            </w:r>
          </w:p>
        </w:tc>
        <w:tc>
          <w:tcPr>
            <w:tcW w:w="111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连续监测</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r w:rsidR="00D75C39">
        <w:trPr>
          <w:trHeight w:val="723"/>
          <w:jc w:val="center"/>
        </w:trPr>
        <w:tc>
          <w:tcPr>
            <w:tcW w:w="82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流量（出水）</w:t>
            </w:r>
          </w:p>
        </w:tc>
        <w:tc>
          <w:tcPr>
            <w:tcW w:w="223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电磁流量计</w:t>
            </w:r>
          </w:p>
        </w:tc>
        <w:tc>
          <w:tcPr>
            <w:tcW w:w="1711" w:type="dxa"/>
            <w:noWrap/>
            <w:vAlign w:val="center"/>
          </w:tcPr>
          <w:p w:rsidR="00D75C39" w:rsidRDefault="003110C4">
            <w:pPr>
              <w:jc w:val="center"/>
              <w:rPr>
                <w:rFonts w:ascii="仿宋_GB2312" w:eastAsia="仿宋_GB2312"/>
                <w:sz w:val="24"/>
              </w:rPr>
            </w:pPr>
            <w:r>
              <w:rPr>
                <w:rFonts w:ascii="仿宋_GB2312" w:eastAsia="仿宋_GB2312" w:hint="eastAsia"/>
                <w:sz w:val="22"/>
                <w:szCs w:val="22"/>
              </w:rPr>
              <w:t>HW-HX-LED-450</w:t>
            </w:r>
          </w:p>
        </w:tc>
        <w:tc>
          <w:tcPr>
            <w:tcW w:w="1112" w:type="dxa"/>
            <w:noWrap/>
            <w:vAlign w:val="center"/>
          </w:tcPr>
          <w:p w:rsidR="00D75C39" w:rsidRDefault="003110C4">
            <w:pPr>
              <w:jc w:val="center"/>
              <w:rPr>
                <w:rFonts w:ascii="仿宋_GB2312" w:eastAsia="仿宋_GB2312"/>
                <w:color w:val="000000"/>
                <w:sz w:val="24"/>
              </w:rPr>
            </w:pPr>
            <w:r>
              <w:rPr>
                <w:rFonts w:ascii="仿宋_GB2312" w:hint="eastAsia"/>
                <w:color w:val="000000"/>
                <w:sz w:val="24"/>
              </w:rPr>
              <w:t>――</w:t>
            </w:r>
          </w:p>
        </w:tc>
        <w:tc>
          <w:tcPr>
            <w:tcW w:w="1112" w:type="dxa"/>
            <w:noWrap/>
            <w:vAlign w:val="center"/>
          </w:tcPr>
          <w:p w:rsidR="00D75C39" w:rsidRDefault="003110C4">
            <w:pPr>
              <w:jc w:val="center"/>
              <w:rPr>
                <w:rFonts w:ascii="仿宋_GB2312"/>
                <w:color w:val="000000"/>
                <w:sz w:val="24"/>
              </w:rPr>
            </w:pPr>
            <w:r>
              <w:rPr>
                <w:rFonts w:ascii="仿宋" w:eastAsia="仿宋" w:hAnsi="仿宋" w:hint="eastAsia"/>
                <w:szCs w:val="21"/>
              </w:rPr>
              <w:t>连续监测</w:t>
            </w:r>
          </w:p>
        </w:tc>
        <w:tc>
          <w:tcPr>
            <w:tcW w:w="1112" w:type="dxa"/>
            <w:noWrap/>
            <w:vAlign w:val="center"/>
          </w:tcPr>
          <w:p w:rsidR="00D75C39" w:rsidRDefault="003110C4">
            <w:pPr>
              <w:pStyle w:val="a8"/>
              <w:snapToGrid w:val="0"/>
              <w:spacing w:line="240" w:lineRule="auto"/>
              <w:ind w:left="0"/>
              <w:jc w:val="center"/>
              <w:rPr>
                <w:rFonts w:ascii="仿宋_GB2312" w:eastAsia="仿宋_GB2312"/>
                <w:color w:val="000000"/>
                <w:sz w:val="24"/>
                <w:lang w:eastAsia="zh-CN"/>
              </w:rPr>
            </w:pPr>
            <w:r>
              <w:rPr>
                <w:rFonts w:ascii="仿宋" w:eastAsia="仿宋" w:hAnsi="仿宋" w:hint="eastAsia"/>
                <w:sz w:val="21"/>
                <w:szCs w:val="21"/>
                <w:lang w:eastAsia="zh-CN"/>
              </w:rPr>
              <w:t>实时公开</w:t>
            </w:r>
          </w:p>
        </w:tc>
      </w:tr>
    </w:tbl>
    <w:p w:rsidR="00D75C39" w:rsidRDefault="00D75C39">
      <w:pPr>
        <w:jc w:val="center"/>
        <w:rPr>
          <w:rFonts w:ascii="仿宋_GB2312" w:eastAsia="仿宋_GB2312"/>
          <w:b/>
          <w:color w:val="000000"/>
          <w:szCs w:val="21"/>
        </w:rPr>
      </w:pPr>
    </w:p>
    <w:p w:rsidR="00D75C39" w:rsidRDefault="003110C4">
      <w:pPr>
        <w:jc w:val="center"/>
        <w:rPr>
          <w:rFonts w:ascii="仿宋_GB2312" w:eastAsia="仿宋_GB2312"/>
          <w:b/>
          <w:color w:val="000000"/>
          <w:szCs w:val="21"/>
        </w:rPr>
      </w:pPr>
      <w:r>
        <w:rPr>
          <w:rFonts w:ascii="仿宋_GB2312" w:eastAsia="仿宋_GB2312" w:hint="eastAsia"/>
          <w:b/>
          <w:color w:val="000000"/>
          <w:szCs w:val="21"/>
        </w:rPr>
        <w:t>表3  污水污染物手工监测方法、监测测仪器及检出限</w:t>
      </w:r>
    </w:p>
    <w:tbl>
      <w:tblPr>
        <w:tblW w:w="8104" w:type="dxa"/>
        <w:jc w:val="center"/>
        <w:tblBorders>
          <w:top w:val="thinThickSmallGap" w:sz="24" w:space="0" w:color="auto"/>
          <w:bottom w:val="thickThinSmallGap" w:sz="24" w:space="0" w:color="auto"/>
          <w:insideH w:val="single" w:sz="4" w:space="0" w:color="auto"/>
          <w:insideV w:val="single" w:sz="4" w:space="0" w:color="auto"/>
        </w:tblBorders>
        <w:tblLayout w:type="fixed"/>
        <w:tblLook w:val="04A0"/>
      </w:tblPr>
      <w:tblGrid>
        <w:gridCol w:w="701"/>
        <w:gridCol w:w="1875"/>
        <w:gridCol w:w="1548"/>
        <w:gridCol w:w="1326"/>
        <w:gridCol w:w="942"/>
        <w:gridCol w:w="1712"/>
      </w:tblGrid>
      <w:tr w:rsidR="00D75C39">
        <w:trPr>
          <w:trHeight w:val="340"/>
          <w:jc w:val="center"/>
        </w:trPr>
        <w:tc>
          <w:tcPr>
            <w:tcW w:w="701"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项目名称</w:t>
            </w:r>
          </w:p>
        </w:tc>
        <w:tc>
          <w:tcPr>
            <w:tcW w:w="1875"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监测方法</w:t>
            </w:r>
          </w:p>
        </w:tc>
        <w:tc>
          <w:tcPr>
            <w:tcW w:w="1548"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仪器设备名称及型号</w:t>
            </w:r>
          </w:p>
        </w:tc>
        <w:tc>
          <w:tcPr>
            <w:tcW w:w="1326"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最低检出限</w:t>
            </w:r>
          </w:p>
        </w:tc>
        <w:tc>
          <w:tcPr>
            <w:tcW w:w="942"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检测频次</w:t>
            </w:r>
          </w:p>
        </w:tc>
        <w:tc>
          <w:tcPr>
            <w:tcW w:w="1712"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监测结果公开时限</w:t>
            </w:r>
          </w:p>
        </w:tc>
      </w:tr>
      <w:tr w:rsidR="00D75C39">
        <w:trPr>
          <w:trHeight w:val="333"/>
          <w:jc w:val="center"/>
        </w:trPr>
        <w:tc>
          <w:tcPr>
            <w:tcW w:w="70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COD</w:t>
            </w:r>
          </w:p>
        </w:tc>
        <w:tc>
          <w:tcPr>
            <w:tcW w:w="1875"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重铬酸钾法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Ansi="仿宋_GB2312" w:cs="仿宋_GB2312"/>
                <w:color w:val="000000"/>
                <w:sz w:val="24"/>
              </w:rPr>
              <w:t>酸式滴定管</w:t>
            </w:r>
          </w:p>
        </w:tc>
        <w:tc>
          <w:tcPr>
            <w:tcW w:w="1326" w:type="dxa"/>
            <w:noWrap/>
            <w:vAlign w:val="center"/>
          </w:tcPr>
          <w:p w:rsidR="00D75C39" w:rsidRDefault="003110C4">
            <w:pPr>
              <w:jc w:val="center"/>
              <w:rPr>
                <w:rFonts w:ascii="仿宋_GB2312" w:eastAsia="仿宋_GB2312"/>
                <w:color w:val="000000"/>
                <w:sz w:val="24"/>
              </w:rPr>
            </w:pPr>
            <w:r>
              <w:rPr>
                <w:bCs/>
                <w:color w:val="000000"/>
                <w:kern w:val="0"/>
                <w:sz w:val="24"/>
              </w:rPr>
              <w:t>4</w:t>
            </w:r>
            <w:r>
              <w:rPr>
                <w:bCs/>
                <w:sz w:val="24"/>
              </w:rPr>
              <w:t>mg/L</w:t>
            </w:r>
          </w:p>
        </w:tc>
        <w:tc>
          <w:tcPr>
            <w:tcW w:w="94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总磷</w:t>
            </w:r>
          </w:p>
        </w:tc>
        <w:tc>
          <w:tcPr>
            <w:tcW w:w="1875"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钼锑抗分光光度法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D75C39" w:rsidRDefault="003110C4">
            <w:pPr>
              <w:jc w:val="center"/>
              <w:rPr>
                <w:rFonts w:ascii="仿宋_GB2312" w:eastAsia="仿宋_GB2312"/>
                <w:color w:val="000000"/>
                <w:sz w:val="24"/>
              </w:rPr>
            </w:pPr>
            <w:r>
              <w:rPr>
                <w:rFonts w:ascii="仿宋_GB2312" w:eastAsia="仿宋_GB2312"/>
                <w:color w:val="000000"/>
                <w:sz w:val="24"/>
              </w:rPr>
              <w:t>0.01mg/L</w:t>
            </w:r>
          </w:p>
        </w:tc>
        <w:tc>
          <w:tcPr>
            <w:tcW w:w="94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90"/>
          <w:jc w:val="center"/>
        </w:trPr>
        <w:tc>
          <w:tcPr>
            <w:tcW w:w="70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氨氮</w:t>
            </w:r>
          </w:p>
        </w:tc>
        <w:tc>
          <w:tcPr>
            <w:tcW w:w="1875"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纳氏试剂分光光度法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D75C39" w:rsidRDefault="003110C4">
            <w:pPr>
              <w:jc w:val="center"/>
              <w:rPr>
                <w:rFonts w:ascii="仿宋_GB2312" w:eastAsia="仿宋_GB2312"/>
                <w:color w:val="000000"/>
                <w:sz w:val="24"/>
              </w:rPr>
            </w:pPr>
            <w:r>
              <w:rPr>
                <w:rFonts w:ascii="仿宋_GB2312" w:eastAsia="仿宋_GB2312"/>
                <w:color w:val="000000"/>
                <w:sz w:val="24"/>
              </w:rPr>
              <w:t>0.025mg/L</w:t>
            </w:r>
          </w:p>
        </w:tc>
        <w:tc>
          <w:tcPr>
            <w:tcW w:w="94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PH值</w:t>
            </w:r>
          </w:p>
        </w:tc>
        <w:tc>
          <w:tcPr>
            <w:tcW w:w="1875"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玻璃电极法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PH-10</w:t>
            </w:r>
          </w:p>
        </w:tc>
        <w:tc>
          <w:tcPr>
            <w:tcW w:w="1326" w:type="dxa"/>
            <w:noWrap/>
            <w:vAlign w:val="center"/>
          </w:tcPr>
          <w:p w:rsidR="00D75C39" w:rsidRDefault="003110C4">
            <w:pPr>
              <w:jc w:val="center"/>
              <w:rPr>
                <w:rFonts w:ascii="仿宋_GB2312" w:eastAsia="仿宋_GB2312"/>
                <w:color w:val="000000"/>
                <w:sz w:val="24"/>
              </w:rPr>
            </w:pPr>
            <w:r>
              <w:rPr>
                <w:rFonts w:ascii="仿宋_GB2312" w:eastAsia="仿宋_GB2312"/>
                <w:color w:val="000000"/>
                <w:sz w:val="24"/>
              </w:rPr>
              <w:t>无检出限</w:t>
            </w:r>
          </w:p>
        </w:tc>
        <w:tc>
          <w:tcPr>
            <w:tcW w:w="94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90"/>
          <w:jc w:val="center"/>
        </w:trPr>
        <w:tc>
          <w:tcPr>
            <w:tcW w:w="701"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总氮</w:t>
            </w:r>
          </w:p>
        </w:tc>
        <w:tc>
          <w:tcPr>
            <w:tcW w:w="1875"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过硫酸盐氧化法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紫外可见分光光度计L 5</w:t>
            </w:r>
          </w:p>
        </w:tc>
        <w:tc>
          <w:tcPr>
            <w:tcW w:w="1326" w:type="dxa"/>
            <w:noWrap/>
            <w:vAlign w:val="center"/>
          </w:tcPr>
          <w:p w:rsidR="00D75C39" w:rsidRDefault="003110C4">
            <w:pPr>
              <w:jc w:val="center"/>
              <w:rPr>
                <w:rFonts w:ascii="仿宋_GB2312" w:eastAsia="仿宋_GB2312"/>
                <w:color w:val="000000"/>
                <w:sz w:val="24"/>
              </w:rPr>
            </w:pPr>
            <w:r>
              <w:rPr>
                <w:rFonts w:ascii="仿宋_GB2312" w:eastAsia="仿宋_GB2312"/>
                <w:color w:val="000000"/>
                <w:sz w:val="24"/>
              </w:rPr>
              <w:t>0.</w:t>
            </w:r>
            <w:r>
              <w:rPr>
                <w:rFonts w:ascii="仿宋_GB2312" w:eastAsia="仿宋_GB2312" w:hint="eastAsia"/>
                <w:color w:val="000000"/>
                <w:sz w:val="24"/>
              </w:rPr>
              <w:t>0</w:t>
            </w:r>
            <w:r>
              <w:rPr>
                <w:rFonts w:ascii="仿宋_GB2312" w:eastAsia="仿宋_GB2312"/>
                <w:color w:val="000000"/>
                <w:sz w:val="24"/>
              </w:rPr>
              <w:t>5mg/L</w:t>
            </w:r>
          </w:p>
        </w:tc>
        <w:tc>
          <w:tcPr>
            <w:tcW w:w="942" w:type="dxa"/>
            <w:noWrap/>
            <w:vAlign w:val="center"/>
          </w:tcPr>
          <w:p w:rsidR="00D75C39" w:rsidRDefault="003110C4">
            <w:pPr>
              <w:jc w:val="center"/>
              <w:rPr>
                <w:rFonts w:ascii="仿宋_GB2312" w:eastAsia="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悬浮物</w:t>
            </w:r>
          </w:p>
        </w:tc>
        <w:tc>
          <w:tcPr>
            <w:tcW w:w="1875" w:type="dxa"/>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_GB2312" w:eastAsia="仿宋_GB2312" w:hAnsi="仿宋_GB2312" w:cs="仿宋_GB2312" w:hint="eastAsia"/>
                <w:color w:val="000000"/>
                <w:sz w:val="24"/>
                <w:lang w:eastAsia="zh-CN"/>
              </w:rPr>
              <w:t>重量法</w:t>
            </w:r>
          </w:p>
        </w:tc>
        <w:tc>
          <w:tcPr>
            <w:tcW w:w="1548"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电子天平FA2004B</w:t>
            </w:r>
          </w:p>
        </w:tc>
        <w:tc>
          <w:tcPr>
            <w:tcW w:w="1326" w:type="dxa"/>
            <w:noWrap/>
            <w:vAlign w:val="center"/>
          </w:tcPr>
          <w:p w:rsidR="00D75C39" w:rsidRDefault="003110C4">
            <w:pPr>
              <w:jc w:val="center"/>
              <w:rPr>
                <w:rFonts w:ascii="仿宋_GB2312" w:eastAsia="仿宋_GB2312"/>
                <w:color w:val="000000"/>
                <w:sz w:val="24"/>
              </w:rPr>
            </w:pPr>
            <w:r>
              <w:rPr>
                <w:rFonts w:ascii="仿宋_GB2312" w:eastAsia="仿宋_GB2312"/>
                <w:color w:val="000000"/>
                <w:sz w:val="24"/>
              </w:rPr>
              <w:t>无检出限</w:t>
            </w:r>
          </w:p>
        </w:tc>
        <w:tc>
          <w:tcPr>
            <w:tcW w:w="942" w:type="dxa"/>
            <w:noWrap/>
            <w:vAlign w:val="center"/>
          </w:tcPr>
          <w:p w:rsidR="00D75C39" w:rsidRDefault="003110C4">
            <w:pPr>
              <w:jc w:val="center"/>
              <w:rPr>
                <w:rFonts w:ascii="仿宋_GB2312"/>
                <w:color w:val="000000"/>
                <w:sz w:val="24"/>
              </w:rPr>
            </w:pPr>
            <w:r>
              <w:rPr>
                <w:rFonts w:ascii="仿宋" w:eastAsia="仿宋" w:hAnsi="仿宋" w:hint="eastAsia"/>
                <w:szCs w:val="21"/>
              </w:rPr>
              <w:t>1次/天</w:t>
            </w:r>
          </w:p>
        </w:tc>
        <w:tc>
          <w:tcPr>
            <w:tcW w:w="1712" w:type="dxa"/>
            <w:noWrap/>
            <w:vAlign w:val="center"/>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粪大肠菌群数</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多管发酵法</w:t>
            </w:r>
          </w:p>
        </w:tc>
        <w:tc>
          <w:tcPr>
            <w:tcW w:w="1548" w:type="dxa"/>
          </w:tcPr>
          <w:p w:rsidR="00D75C39" w:rsidRDefault="003110C4">
            <w:pPr>
              <w:jc w:val="center"/>
              <w:rPr>
                <w:rFonts w:ascii="仿宋_GB2312" w:eastAsia="仿宋_GB2312"/>
                <w:color w:val="000000"/>
                <w:sz w:val="24"/>
              </w:rPr>
            </w:pPr>
            <w:r>
              <w:rPr>
                <w:rFonts w:ascii="仿宋_GB2312" w:eastAsia="仿宋_GB2312" w:hint="eastAsia"/>
                <w:color w:val="000000"/>
                <w:sz w:val="24"/>
              </w:rPr>
              <w:t>生化培养箱SPX-150B-Z</w:t>
            </w:r>
          </w:p>
        </w:tc>
        <w:tc>
          <w:tcPr>
            <w:tcW w:w="1326" w:type="dxa"/>
          </w:tcPr>
          <w:p w:rsidR="00D75C39" w:rsidRDefault="003110C4">
            <w:pPr>
              <w:jc w:val="center"/>
              <w:rPr>
                <w:rFonts w:ascii="仿宋_GB2312" w:eastAsia="仿宋_GB2312"/>
                <w:color w:val="000000"/>
                <w:sz w:val="24"/>
              </w:rPr>
            </w:pPr>
            <w:r>
              <w:rPr>
                <w:rFonts w:ascii="仿宋_GB2312" w:eastAsia="仿宋_GB2312"/>
                <w:color w:val="000000"/>
                <w:sz w:val="24"/>
              </w:rPr>
              <w:t>20MPN/L</w:t>
            </w:r>
          </w:p>
        </w:tc>
        <w:tc>
          <w:tcPr>
            <w:tcW w:w="942" w:type="dxa"/>
          </w:tcPr>
          <w:p w:rsidR="00D75C39" w:rsidRDefault="003110C4">
            <w:pPr>
              <w:jc w:val="center"/>
              <w:rPr>
                <w:rFonts w:ascii="仿宋_GB2312"/>
                <w:color w:val="000000"/>
                <w:sz w:val="24"/>
              </w:rPr>
            </w:pPr>
            <w:r>
              <w:rPr>
                <w:rFonts w:ascii="仿宋" w:eastAsia="仿宋" w:hAnsi="仿宋" w:hint="eastAsia"/>
                <w:szCs w:val="21"/>
              </w:rPr>
              <w:t>1次/天</w:t>
            </w:r>
          </w:p>
        </w:tc>
        <w:tc>
          <w:tcPr>
            <w:tcW w:w="1712" w:type="dxa"/>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BOD</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_GB2312" w:eastAsia="仿宋_GB2312" w:hAnsi="仿宋_GB2312" w:cs="仿宋_GB2312" w:hint="eastAsia"/>
                <w:color w:val="000000"/>
                <w:sz w:val="24"/>
                <w:lang w:eastAsia="zh-CN"/>
              </w:rPr>
              <w:t>稀释接种法</w:t>
            </w:r>
          </w:p>
        </w:tc>
        <w:tc>
          <w:tcPr>
            <w:tcW w:w="1548" w:type="dxa"/>
          </w:tcPr>
          <w:p w:rsidR="00D75C39" w:rsidRDefault="003110C4">
            <w:pPr>
              <w:jc w:val="center"/>
              <w:rPr>
                <w:rFonts w:ascii="仿宋_GB2312" w:eastAsia="仿宋_GB2312"/>
                <w:color w:val="000000"/>
                <w:sz w:val="24"/>
              </w:rPr>
            </w:pPr>
            <w:r>
              <w:rPr>
                <w:rFonts w:ascii="仿宋_GB2312" w:eastAsia="仿宋_GB2312" w:hint="eastAsia"/>
                <w:color w:val="000000"/>
                <w:sz w:val="24"/>
              </w:rPr>
              <w:t>生化培养箱SPX-150B-Z</w:t>
            </w:r>
          </w:p>
        </w:tc>
        <w:tc>
          <w:tcPr>
            <w:tcW w:w="1326" w:type="dxa"/>
          </w:tcPr>
          <w:p w:rsidR="00D75C39" w:rsidRDefault="003110C4">
            <w:pPr>
              <w:jc w:val="center"/>
              <w:rPr>
                <w:rFonts w:ascii="仿宋_GB2312" w:eastAsia="仿宋_GB2312"/>
                <w:color w:val="000000"/>
                <w:sz w:val="24"/>
              </w:rPr>
            </w:pPr>
            <w:r>
              <w:rPr>
                <w:rFonts w:ascii="仿宋_GB2312" w:eastAsia="仿宋_GB2312"/>
                <w:color w:val="000000"/>
                <w:sz w:val="24"/>
              </w:rPr>
              <w:t>0.5mg/L</w:t>
            </w:r>
          </w:p>
        </w:tc>
        <w:tc>
          <w:tcPr>
            <w:tcW w:w="942" w:type="dxa"/>
          </w:tcPr>
          <w:p w:rsidR="00D75C39" w:rsidRDefault="003110C4">
            <w:pPr>
              <w:jc w:val="center"/>
              <w:rPr>
                <w:rFonts w:ascii="仿宋_GB2312"/>
                <w:color w:val="000000"/>
                <w:sz w:val="24"/>
              </w:rPr>
            </w:pPr>
            <w:r>
              <w:rPr>
                <w:rFonts w:ascii="仿宋" w:eastAsia="仿宋" w:hAnsi="仿宋" w:hint="eastAsia"/>
                <w:szCs w:val="21"/>
              </w:rPr>
              <w:t>1次/天</w:t>
            </w:r>
          </w:p>
        </w:tc>
        <w:tc>
          <w:tcPr>
            <w:tcW w:w="1712" w:type="dxa"/>
          </w:tcPr>
          <w:p w:rsidR="00D75C39" w:rsidRDefault="003110C4">
            <w:pPr>
              <w:jc w:val="center"/>
              <w:rPr>
                <w:rFonts w:ascii="仿宋" w:eastAsia="仿宋" w:hAnsi="仿宋"/>
                <w:szCs w:val="21"/>
              </w:rPr>
            </w:pPr>
            <w:r>
              <w:rPr>
                <w:rFonts w:ascii="仿宋" w:eastAsia="仿宋" w:hAnsi="仿宋" w:hint="eastAsia"/>
                <w:szCs w:val="21"/>
              </w:rPr>
              <w:t>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pH</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1147-2020 水质 pH值的测定 电极法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酸度计</w:t>
            </w:r>
          </w:p>
          <w:p w:rsidR="00D75C39" w:rsidRDefault="003110C4">
            <w:pPr>
              <w:jc w:val="center"/>
              <w:rPr>
                <w:rFonts w:ascii="仿宋_GB2312" w:eastAsia="仿宋_GB2312"/>
                <w:color w:val="000000"/>
                <w:sz w:val="24"/>
              </w:rPr>
            </w:pPr>
            <w:r>
              <w:rPr>
                <w:rFonts w:ascii="仿宋_GB2312" w:eastAsia="仿宋_GB2312"/>
                <w:color w:val="000000"/>
                <w:sz w:val="24"/>
              </w:rPr>
              <w:t>PHS-3E</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无检出限</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悬浮物</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11901-1989 水质 悬浮物的测定  重量法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分析天平</w:t>
            </w:r>
          </w:p>
          <w:p w:rsidR="00D75C39" w:rsidRDefault="003110C4">
            <w:pPr>
              <w:jc w:val="center"/>
              <w:rPr>
                <w:rFonts w:ascii="仿宋_GB2312" w:eastAsia="仿宋_GB2312"/>
                <w:color w:val="000000"/>
                <w:sz w:val="24"/>
              </w:rPr>
            </w:pPr>
            <w:r>
              <w:rPr>
                <w:rFonts w:ascii="仿宋_GB2312" w:eastAsia="仿宋_GB2312"/>
                <w:color w:val="000000"/>
                <w:sz w:val="24"/>
              </w:rPr>
              <w:t>FA2004</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无检出限</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化学需氧量</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828-2017 水质 化学需氧量的测定 重铬酸盐法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酸式滴定管</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4mg/L</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五日生化需氧量</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505-2009 水质 五日生化需氧量（BOD5）的测定 稀释与接种法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生化培养箱SPL-150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0.5mg/L</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氨氮</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535-2009 水</w:t>
            </w:r>
            <w:r>
              <w:rPr>
                <w:rFonts w:ascii="仿宋_GB2312" w:eastAsia="仿宋_GB2312" w:hAnsi="仿宋_GB2312" w:cs="仿宋_GB2312"/>
                <w:color w:val="000000"/>
                <w:sz w:val="24"/>
                <w:lang w:eastAsia="zh-CN"/>
              </w:rPr>
              <w:lastRenderedPageBreak/>
              <w:t>质 氨氮的测定 纳氏试剂分光光度法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lastRenderedPageBreak/>
              <w:t>紫外分光光</w:t>
            </w:r>
            <w:r>
              <w:rPr>
                <w:rFonts w:ascii="仿宋_GB2312" w:eastAsia="仿宋_GB2312"/>
                <w:color w:val="000000"/>
                <w:sz w:val="24"/>
              </w:rPr>
              <w:lastRenderedPageBreak/>
              <w:t>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lastRenderedPageBreak/>
              <w:t>0.025mg/L</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w:t>
            </w:r>
            <w:r>
              <w:rPr>
                <w:rFonts w:ascii="仿宋" w:eastAsia="仿宋" w:hAnsi="仿宋" w:hint="eastAsia"/>
                <w:szCs w:val="21"/>
              </w:rPr>
              <w:lastRenderedPageBreak/>
              <w:t>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lastRenderedPageBreak/>
              <w:t>动植物油类</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637-2018 水质 石油类和动植物油类的测定 红外分光光度法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红外测油仪OIL-8</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0.06mg/L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石油类</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637-2018 水质 石油类和动植物油类的测定 红外分光光度法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红外测油仪OIL-8</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0.06mg/L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阴离子表面活性剂</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GB/T 7494-1987水质 阴离子表面活性剂的测定 亚甲蓝分光光度法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0.05mg/L</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总磷</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GB/T 11893-1989水质 总磷的测定 钼酸铵分光光度法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0.01mg/L</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总氮</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HJ 636-2012水质 总氮的测定 碱性过硫酸钾消解紫外分光光度法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w:t>
            </w:r>
            <w:r>
              <w:rPr>
                <w:rFonts w:ascii="仿宋_GB2312" w:eastAsia="仿宋_GB2312" w:hint="eastAsia"/>
                <w:color w:val="000000"/>
                <w:sz w:val="24"/>
              </w:rPr>
              <w:t>0</w:t>
            </w:r>
            <w:r>
              <w:rPr>
                <w:rFonts w:ascii="仿宋_GB2312" w:eastAsia="仿宋_GB2312"/>
                <w:color w:val="000000"/>
                <w:sz w:val="24"/>
              </w:rPr>
              <w:t>5mg/L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色度</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1182-2021 水质 色度的测定 稀释倍数法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具塞比色管</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2倍</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砷</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694-2014水质 汞、砷、硒、铋和锑的测定 原子荧光法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原子荧光光谱仪AFS-8510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0.3</w:t>
            </w:r>
            <w:r>
              <w:rPr>
                <w:rFonts w:ascii="仿宋_GB2312" w:eastAsia="仿宋_GB2312"/>
                <w:color w:val="000000"/>
                <w:sz w:val="24"/>
              </w:rPr>
              <w:t>μ</w:t>
            </w:r>
            <w:r>
              <w:rPr>
                <w:rFonts w:ascii="仿宋_GB2312" w:eastAsia="仿宋_GB2312"/>
                <w:color w:val="000000"/>
                <w:sz w:val="24"/>
              </w:rPr>
              <w:t>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汞</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 694-2014水质 汞、砷、硒、铋和锑的测定 原子荧光法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原子荧光光谱仪AFS-8510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0.04</w:t>
            </w:r>
            <w:r>
              <w:rPr>
                <w:rFonts w:ascii="仿宋_GB2312" w:eastAsia="仿宋_GB2312"/>
                <w:color w:val="000000"/>
                <w:sz w:val="24"/>
              </w:rPr>
              <w:t>μ</w:t>
            </w:r>
            <w:r>
              <w:rPr>
                <w:rFonts w:ascii="仿宋_GB2312" w:eastAsia="仿宋_GB2312"/>
                <w:color w:val="000000"/>
                <w:sz w:val="24"/>
              </w:rPr>
              <w:t>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铅</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7475-1987 水质 铜、锌、铅、镉的测定 原子吸收分光</w:t>
            </w:r>
            <w:r>
              <w:rPr>
                <w:rFonts w:ascii="仿宋_GB2312" w:eastAsia="仿宋_GB2312" w:hAnsi="仿宋_GB2312" w:cs="仿宋_GB2312"/>
                <w:color w:val="000000"/>
                <w:sz w:val="24"/>
                <w:lang w:eastAsia="zh-CN"/>
              </w:rPr>
              <w:lastRenderedPageBreak/>
              <w:t>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lastRenderedPageBreak/>
              <w:t xml:space="preserve">原子吸收分光光度计 TAS-990FAG </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0.01mg/L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lastRenderedPageBreak/>
              <w:t>镉</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7475-1987 水质 铜、锌、铅、镉的测定 原子吸收分光光度法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 xml:space="preserve">原子吸收分光光度计 TAS-990FAG </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0.001mg/L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六价铬</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GB/T 7467-1987水质 六价铬的测定 二苯碳酰二肼分光光度法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0.004mg/L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总铬</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GB/T 7466-1987 水质 总铬的测定</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0.004mg/L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烷基汞</w:t>
            </w:r>
            <w:r>
              <w:rPr>
                <w:rFonts w:ascii="仿宋_GB2312" w:eastAsia="仿宋_GB2312" w:hAnsi="仿宋_GB2312" w:cs="仿宋_GB2312" w:hint="eastAsia"/>
                <w:color w:val="000000"/>
                <w:sz w:val="24"/>
                <w:lang w:eastAsia="zh-CN"/>
              </w:rPr>
              <w:t>（甲基汞）</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 GB/T 14204-1993水质 烷基汞的测定气相色谱法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气相色谱仪GC9790</w:t>
            </w:r>
            <w:r>
              <w:rPr>
                <w:rFonts w:ascii="仿宋_GB2312" w:eastAsia="仿宋_GB2312" w:hint="eastAsia"/>
                <w:color w:val="000000"/>
                <w:sz w:val="24"/>
              </w:rPr>
              <w:t>(Plus)</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10ng/L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627"/>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烷基汞</w:t>
            </w:r>
            <w:r>
              <w:rPr>
                <w:rFonts w:ascii="仿宋_GB2312" w:eastAsia="仿宋_GB2312" w:hAnsi="仿宋_GB2312" w:cs="仿宋_GB2312" w:hint="eastAsia"/>
                <w:color w:val="000000"/>
                <w:sz w:val="24"/>
                <w:lang w:eastAsia="zh-CN"/>
              </w:rPr>
              <w:t>（乙基汞）</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 xml:space="preserve"> GB/T 14204-1993水质 烷基汞的测定气相色谱法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气相色谱仪GC9790</w:t>
            </w:r>
            <w:r>
              <w:rPr>
                <w:rFonts w:ascii="仿宋_GB2312" w:eastAsia="仿宋_GB2312" w:hint="eastAsia"/>
                <w:color w:val="000000"/>
                <w:sz w:val="24"/>
              </w:rPr>
              <w:t>(Plus)</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20ng/L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粪大肠菌群</w:t>
            </w:r>
          </w:p>
        </w:tc>
        <w:tc>
          <w:tcPr>
            <w:tcW w:w="1875" w:type="dxa"/>
            <w:vAlign w:val="center"/>
          </w:tcPr>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_GB2312" w:eastAsia="仿宋_GB2312" w:hAnsi="仿宋_GB2312" w:cs="仿宋_GB2312"/>
                <w:color w:val="000000"/>
                <w:sz w:val="24"/>
                <w:lang w:eastAsia="zh-CN"/>
              </w:rPr>
              <w:t>HJ/T 347.2-2018 水质 粪大肠菌群的测定 多管发酵法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生化培养箱SPL-150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20MPN/L</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1次/月</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噪声</w:t>
            </w:r>
          </w:p>
        </w:tc>
        <w:tc>
          <w:tcPr>
            <w:tcW w:w="1875" w:type="dxa"/>
          </w:tcPr>
          <w:p w:rsidR="00D75C39" w:rsidRDefault="003110C4">
            <w:pPr>
              <w:widowControl/>
              <w:jc w:val="center"/>
              <w:textAlignment w:val="center"/>
              <w:rPr>
                <w:rFonts w:ascii="仿宋" w:eastAsia="仿宋" w:hAnsi="仿宋"/>
                <w:kern w:val="0"/>
                <w:szCs w:val="21"/>
                <w:lang w:bidi="en-US"/>
              </w:rPr>
            </w:pPr>
            <w:r>
              <w:rPr>
                <w:rFonts w:ascii="仿宋" w:eastAsia="仿宋" w:hAnsi="仿宋" w:hint="eastAsia"/>
                <w:kern w:val="0"/>
                <w:szCs w:val="21"/>
                <w:lang w:bidi="en-US"/>
              </w:rPr>
              <w:t>GB 12348-2008</w:t>
            </w:r>
          </w:p>
          <w:p w:rsidR="00D75C39" w:rsidRDefault="003110C4">
            <w:pPr>
              <w:pStyle w:val="a8"/>
              <w:snapToGrid w:val="0"/>
              <w:spacing w:line="240" w:lineRule="auto"/>
              <w:ind w:left="0"/>
              <w:jc w:val="center"/>
              <w:rPr>
                <w:rFonts w:ascii="仿宋_GB2312" w:eastAsia="仿宋_GB2312" w:hAnsi="仿宋_GB2312" w:cs="仿宋_GB2312"/>
                <w:color w:val="000000"/>
                <w:sz w:val="24"/>
                <w:lang w:eastAsia="zh-CN"/>
              </w:rPr>
            </w:pPr>
            <w:r>
              <w:rPr>
                <w:rFonts w:ascii="仿宋" w:eastAsia="仿宋" w:hAnsi="仿宋" w:hint="eastAsia"/>
                <w:sz w:val="21"/>
                <w:szCs w:val="21"/>
                <w:lang w:eastAsia="zh-CN"/>
              </w:rPr>
              <w:t xml:space="preserve">工业企业厂界环境噪声排放标准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多功能声级计AWA6228+</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w:t>
            </w:r>
          </w:p>
        </w:tc>
        <w:tc>
          <w:tcPr>
            <w:tcW w:w="942" w:type="dxa"/>
            <w:vAlign w:val="center"/>
          </w:tcPr>
          <w:p w:rsidR="00D75C39" w:rsidRDefault="003110C4">
            <w:pPr>
              <w:jc w:val="center"/>
              <w:rPr>
                <w:rFonts w:ascii="仿宋_GB2312"/>
                <w:color w:val="000000"/>
                <w:sz w:val="24"/>
              </w:rPr>
            </w:pPr>
            <w:r>
              <w:rPr>
                <w:rFonts w:ascii="仿宋" w:eastAsia="仿宋" w:hAnsi="仿宋" w:hint="eastAsia"/>
                <w:szCs w:val="21"/>
              </w:rPr>
              <w:t>1次/季</w:t>
            </w:r>
          </w:p>
        </w:tc>
        <w:tc>
          <w:tcPr>
            <w:tcW w:w="1712" w:type="dxa"/>
          </w:tcPr>
          <w:p w:rsidR="00D75C39" w:rsidRDefault="003110C4">
            <w:pPr>
              <w:jc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氨</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 xml:space="preserve">HJ 534-2009环境空气 氨的测定 次氯酸钠-水杨酸分光光度法 </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0.025mg/m3</w:t>
            </w:r>
          </w:p>
        </w:tc>
        <w:tc>
          <w:tcPr>
            <w:tcW w:w="942" w:type="dxa"/>
            <w:vAlign w:val="center"/>
          </w:tcPr>
          <w:p w:rsidR="00D75C39" w:rsidRDefault="003110C4">
            <w:pPr>
              <w:widowControl/>
              <w:jc w:val="center"/>
              <w:textAlignment w:val="center"/>
              <w:rPr>
                <w:bCs/>
                <w:kern w:val="0"/>
                <w:sz w:val="24"/>
              </w:rPr>
            </w:pPr>
            <w:r>
              <w:rPr>
                <w:rFonts w:ascii="仿宋" w:eastAsia="仿宋" w:hAnsi="仿宋" w:hint="eastAsia"/>
                <w:szCs w:val="21"/>
              </w:rPr>
              <w:t>1次/半年</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硫化氢</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《空气和废气监测分析方法》第四版 第三篇 第一章 十一（二）</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0.001mg/m3</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臭气浓度</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GB/T 14675-1993空气质量 恶臭的测定 三点比较式臭袋法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10（无量纲）</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r w:rsidR="00D75C39">
        <w:trPr>
          <w:trHeight w:val="340"/>
          <w:jc w:val="center"/>
        </w:trPr>
        <w:tc>
          <w:tcPr>
            <w:tcW w:w="701"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lastRenderedPageBreak/>
              <w:t>氨</w:t>
            </w:r>
          </w:p>
        </w:tc>
        <w:tc>
          <w:tcPr>
            <w:tcW w:w="1875"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 xml:space="preserve"> HJ 533-2009环境空气和废气 氨的测定 纳氏试剂分光光度法</w:t>
            </w:r>
          </w:p>
        </w:tc>
        <w:tc>
          <w:tcPr>
            <w:tcW w:w="1548" w:type="dxa"/>
            <w:vAlign w:val="center"/>
          </w:tcPr>
          <w:p w:rsidR="00D75C39" w:rsidRDefault="003110C4">
            <w:pPr>
              <w:jc w:val="center"/>
              <w:rPr>
                <w:rFonts w:ascii="仿宋_GB2312" w:eastAsia="仿宋_GB2312"/>
                <w:color w:val="000000"/>
                <w:sz w:val="24"/>
              </w:rPr>
            </w:pPr>
            <w:r>
              <w:rPr>
                <w:rFonts w:ascii="仿宋_GB2312" w:eastAsia="仿宋_GB2312"/>
                <w:color w:val="000000"/>
                <w:sz w:val="24"/>
              </w:rPr>
              <w:t>紫外分光光度计UV5100</w:t>
            </w:r>
          </w:p>
        </w:tc>
        <w:tc>
          <w:tcPr>
            <w:tcW w:w="1326" w:type="dxa"/>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0.25mg/m3</w:t>
            </w:r>
          </w:p>
        </w:tc>
        <w:tc>
          <w:tcPr>
            <w:tcW w:w="942" w:type="dxa"/>
            <w:vAlign w:val="center"/>
          </w:tcPr>
          <w:p w:rsidR="00D75C39" w:rsidRDefault="003110C4">
            <w:pPr>
              <w:widowControl/>
              <w:jc w:val="center"/>
              <w:textAlignment w:val="center"/>
              <w:rPr>
                <w:bCs/>
                <w:color w:val="000000"/>
                <w:kern w:val="0"/>
                <w:sz w:val="24"/>
              </w:rPr>
            </w:pPr>
            <w:r>
              <w:rPr>
                <w:rFonts w:ascii="仿宋" w:eastAsia="仿宋" w:hAnsi="仿宋" w:hint="eastAsia"/>
                <w:szCs w:val="21"/>
              </w:rPr>
              <w:t>1次/半年</w:t>
            </w:r>
          </w:p>
        </w:tc>
        <w:tc>
          <w:tcPr>
            <w:tcW w:w="1712" w:type="dxa"/>
            <w:vAlign w:val="center"/>
          </w:tcPr>
          <w:p w:rsidR="00D75C39" w:rsidRDefault="003110C4">
            <w:pPr>
              <w:widowControl/>
              <w:jc w:val="center"/>
              <w:textAlignment w:val="center"/>
              <w:rPr>
                <w:rFonts w:ascii="仿宋" w:eastAsia="仿宋" w:hAnsi="仿宋"/>
                <w:szCs w:val="21"/>
              </w:rPr>
            </w:pPr>
            <w:r>
              <w:rPr>
                <w:rFonts w:ascii="仿宋" w:eastAsia="仿宋" w:hAnsi="仿宋" w:hint="eastAsia"/>
                <w:szCs w:val="21"/>
              </w:rPr>
              <w:t>采样后10日内，监测完成后次日公开</w:t>
            </w:r>
          </w:p>
        </w:tc>
      </w:tr>
    </w:tbl>
    <w:p w:rsidR="00D75C39" w:rsidRDefault="00D75C39">
      <w:pPr>
        <w:ind w:firstLineChars="200" w:firstLine="640"/>
        <w:rPr>
          <w:rFonts w:ascii="仿宋_GB2312" w:eastAsia="仿宋_GB2312"/>
          <w:color w:val="000000"/>
          <w:sz w:val="32"/>
          <w:szCs w:val="32"/>
        </w:rPr>
      </w:pPr>
    </w:p>
    <w:p w:rsidR="00D75C39" w:rsidRDefault="00D75C39">
      <w:pPr>
        <w:rPr>
          <w:rFonts w:ascii="仿宋_GB2312" w:eastAsia="仿宋_GB2312"/>
          <w:b/>
          <w:color w:val="000000"/>
          <w:sz w:val="32"/>
          <w:szCs w:val="32"/>
        </w:rPr>
      </w:pPr>
    </w:p>
    <w:p w:rsidR="00D75C39" w:rsidRDefault="00D75C39">
      <w:pPr>
        <w:rPr>
          <w:rFonts w:ascii="仿宋_GB2312" w:eastAsia="仿宋_GB2312"/>
          <w:b/>
          <w:color w:val="000000"/>
          <w:sz w:val="32"/>
          <w:szCs w:val="32"/>
        </w:rPr>
      </w:pPr>
    </w:p>
    <w:p w:rsidR="00D75C39" w:rsidRDefault="003110C4">
      <w:pPr>
        <w:rPr>
          <w:rFonts w:ascii="仿宋_GB2312" w:eastAsia="仿宋_GB2312"/>
          <w:b/>
          <w:color w:val="000000"/>
          <w:sz w:val="32"/>
          <w:szCs w:val="32"/>
        </w:rPr>
      </w:pPr>
      <w:r>
        <w:rPr>
          <w:rFonts w:ascii="仿宋_GB2312" w:eastAsia="仿宋_GB2312" w:hint="eastAsia"/>
          <w:b/>
          <w:color w:val="000000"/>
          <w:sz w:val="32"/>
          <w:szCs w:val="32"/>
        </w:rPr>
        <w:t>三、监测结果评价标准</w:t>
      </w:r>
    </w:p>
    <w:p w:rsidR="00D75C39" w:rsidRDefault="003110C4">
      <w:pPr>
        <w:jc w:val="center"/>
        <w:rPr>
          <w:rFonts w:ascii="仿宋_GB2312" w:eastAsia="仿宋_GB2312"/>
          <w:b/>
          <w:color w:val="000000"/>
          <w:szCs w:val="21"/>
        </w:rPr>
      </w:pPr>
      <w:r>
        <w:rPr>
          <w:rFonts w:ascii="仿宋_GB2312" w:eastAsia="仿宋_GB2312" w:hint="eastAsia"/>
          <w:b/>
          <w:color w:val="000000"/>
          <w:szCs w:val="21"/>
        </w:rPr>
        <w:t>表4  污水污染物监测结果评价标准</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1368"/>
        <w:gridCol w:w="1620"/>
        <w:gridCol w:w="2700"/>
        <w:gridCol w:w="1620"/>
        <w:gridCol w:w="1214"/>
      </w:tblGrid>
      <w:tr w:rsidR="00D75C39">
        <w:trPr>
          <w:trHeight w:val="451"/>
        </w:trPr>
        <w:tc>
          <w:tcPr>
            <w:tcW w:w="1368" w:type="dxa"/>
            <w:vMerge w:val="restart"/>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监测断面</w:t>
            </w:r>
          </w:p>
        </w:tc>
        <w:tc>
          <w:tcPr>
            <w:tcW w:w="1620" w:type="dxa"/>
            <w:vMerge w:val="restart"/>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监测项目</w:t>
            </w:r>
          </w:p>
        </w:tc>
        <w:tc>
          <w:tcPr>
            <w:tcW w:w="5534" w:type="dxa"/>
            <w:gridSpan w:val="3"/>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评价标准</w:t>
            </w:r>
          </w:p>
        </w:tc>
      </w:tr>
      <w:tr w:rsidR="00D75C39">
        <w:trPr>
          <w:trHeight w:val="443"/>
        </w:trPr>
        <w:tc>
          <w:tcPr>
            <w:tcW w:w="1368" w:type="dxa"/>
            <w:vMerge/>
            <w:noWrap/>
            <w:vAlign w:val="center"/>
          </w:tcPr>
          <w:p w:rsidR="00D75C39" w:rsidRDefault="00D75C39">
            <w:pPr>
              <w:jc w:val="center"/>
              <w:rPr>
                <w:rFonts w:ascii="仿宋_GB2312" w:eastAsia="仿宋_GB2312"/>
                <w:b/>
                <w:color w:val="000000"/>
                <w:sz w:val="24"/>
              </w:rPr>
            </w:pPr>
          </w:p>
        </w:tc>
        <w:tc>
          <w:tcPr>
            <w:tcW w:w="1620" w:type="dxa"/>
            <w:vMerge/>
            <w:noWrap/>
            <w:vAlign w:val="center"/>
          </w:tcPr>
          <w:p w:rsidR="00D75C39" w:rsidRDefault="00D75C39">
            <w:pPr>
              <w:jc w:val="center"/>
              <w:rPr>
                <w:rFonts w:ascii="仿宋_GB2312" w:eastAsia="仿宋_GB2312"/>
                <w:b/>
                <w:color w:val="000000"/>
                <w:sz w:val="24"/>
              </w:rPr>
            </w:pPr>
          </w:p>
        </w:tc>
        <w:tc>
          <w:tcPr>
            <w:tcW w:w="2700"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名称及代号</w:t>
            </w:r>
          </w:p>
        </w:tc>
        <w:tc>
          <w:tcPr>
            <w:tcW w:w="1620"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时段、级别</w:t>
            </w:r>
          </w:p>
        </w:tc>
        <w:tc>
          <w:tcPr>
            <w:tcW w:w="1214"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限值</w:t>
            </w:r>
          </w:p>
        </w:tc>
      </w:tr>
      <w:tr w:rsidR="00D75C39">
        <w:trPr>
          <w:trHeight w:val="572"/>
        </w:trPr>
        <w:tc>
          <w:tcPr>
            <w:tcW w:w="1368"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污水总排放口</w:t>
            </w: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sz w:val="24"/>
              </w:rPr>
              <w:t>COD</w:t>
            </w:r>
          </w:p>
        </w:tc>
        <w:tc>
          <w:tcPr>
            <w:tcW w:w="2700"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《城镇污水厂污染物排放标准》</w:t>
            </w:r>
          </w:p>
          <w:p w:rsidR="00D75C39" w:rsidRDefault="003110C4">
            <w:pPr>
              <w:jc w:val="center"/>
              <w:rPr>
                <w:rFonts w:ascii="仿宋_GB2312" w:eastAsia="仿宋_GB2312"/>
                <w:color w:val="000000"/>
                <w:sz w:val="24"/>
              </w:rPr>
            </w:pPr>
            <w:r>
              <w:rPr>
                <w:rFonts w:ascii="仿宋_GB2312" w:eastAsia="仿宋_GB2312" w:hint="eastAsia"/>
                <w:color w:val="000000"/>
                <w:sz w:val="24"/>
              </w:rPr>
              <w:t>（GB 18918-2002）</w:t>
            </w: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50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氨氮</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5（8）</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总磷</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0．5</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PH值</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6--9</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生化需氧</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色度</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30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总汞</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0.001</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烷基汞</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总铬</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0.1</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总镉</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0.01</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六价铬</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0.05</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总砷</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0.1</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总铅</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0.1</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悬浮物</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阴离子表</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0.5</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粪大肠菌</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1000</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总氮</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15</w:t>
            </w:r>
          </w:p>
        </w:tc>
      </w:tr>
      <w:tr w:rsidR="00D75C39">
        <w:trPr>
          <w:trHeight w:val="622"/>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石油类</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w:t>
            </w:r>
          </w:p>
        </w:tc>
      </w:tr>
      <w:tr w:rsidR="00D75C39">
        <w:trPr>
          <w:trHeight w:val="616"/>
        </w:trPr>
        <w:tc>
          <w:tcPr>
            <w:tcW w:w="1368" w:type="dxa"/>
            <w:vMerge/>
            <w:noWrap/>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动植物油</w:t>
            </w:r>
          </w:p>
        </w:tc>
        <w:tc>
          <w:tcPr>
            <w:tcW w:w="2700" w:type="dxa"/>
            <w:vMerge/>
            <w:noWrap/>
            <w:vAlign w:val="center"/>
          </w:tcPr>
          <w:p w:rsidR="00D75C39" w:rsidRDefault="00D75C39">
            <w:pPr>
              <w:jc w:val="center"/>
              <w:rPr>
                <w:rFonts w:ascii="仿宋_GB2312" w:eastAsia="仿宋_GB2312"/>
                <w:color w:val="000000"/>
                <w:sz w:val="24"/>
              </w:rPr>
            </w:pP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一级A</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w:t>
            </w:r>
          </w:p>
        </w:tc>
      </w:tr>
      <w:tr w:rsidR="00D75C39">
        <w:trPr>
          <w:trHeight w:val="616"/>
        </w:trPr>
        <w:tc>
          <w:tcPr>
            <w:tcW w:w="1368"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废气排放口</w:t>
            </w:r>
          </w:p>
        </w:tc>
        <w:tc>
          <w:tcPr>
            <w:tcW w:w="1620" w:type="dxa"/>
            <w:noWrap/>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氨</w:t>
            </w:r>
          </w:p>
        </w:tc>
        <w:tc>
          <w:tcPr>
            <w:tcW w:w="2700"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《城镇污水厂污染物排放标准》</w:t>
            </w:r>
          </w:p>
          <w:p w:rsidR="00D75C39" w:rsidRDefault="003110C4">
            <w:pPr>
              <w:jc w:val="center"/>
              <w:rPr>
                <w:rFonts w:ascii="仿宋_GB2312" w:eastAsia="仿宋_GB2312"/>
                <w:color w:val="000000"/>
                <w:sz w:val="24"/>
              </w:rPr>
            </w:pPr>
            <w:r>
              <w:rPr>
                <w:rFonts w:ascii="仿宋_GB2312" w:eastAsia="仿宋_GB2312" w:hint="eastAsia"/>
                <w:color w:val="000000"/>
                <w:sz w:val="24"/>
              </w:rPr>
              <w:t>（GB 18918-2002）</w:t>
            </w:r>
          </w:p>
        </w:tc>
        <w:tc>
          <w:tcPr>
            <w:tcW w:w="1620"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一级标准</w:t>
            </w:r>
          </w:p>
        </w:tc>
        <w:tc>
          <w:tcPr>
            <w:tcW w:w="121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1.0</w:t>
            </w:r>
          </w:p>
        </w:tc>
      </w:tr>
      <w:tr w:rsidR="00D75C39">
        <w:trPr>
          <w:trHeight w:val="616"/>
        </w:trPr>
        <w:tc>
          <w:tcPr>
            <w:tcW w:w="1368" w:type="dxa"/>
            <w:vMerge/>
          </w:tcPr>
          <w:p w:rsidR="00D75C39" w:rsidRDefault="00D75C39">
            <w:pPr>
              <w:jc w:val="center"/>
              <w:rPr>
                <w:rFonts w:ascii="仿宋_GB2312" w:eastAsia="仿宋_GB2312"/>
                <w:color w:val="000000"/>
                <w:sz w:val="24"/>
              </w:rPr>
            </w:pPr>
          </w:p>
        </w:tc>
        <w:tc>
          <w:tcPr>
            <w:tcW w:w="0" w:type="auto"/>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硫化氢</w:t>
            </w:r>
          </w:p>
        </w:tc>
        <w:tc>
          <w:tcPr>
            <w:tcW w:w="2700" w:type="dxa"/>
            <w:vMerge/>
          </w:tcPr>
          <w:p w:rsidR="00D75C39" w:rsidRDefault="00D75C39">
            <w:pPr>
              <w:jc w:val="center"/>
              <w:rPr>
                <w:rFonts w:ascii="仿宋_GB2312" w:eastAsia="仿宋_GB2312"/>
                <w:color w:val="000000"/>
                <w:sz w:val="24"/>
              </w:rPr>
            </w:pP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0.03</w:t>
            </w:r>
          </w:p>
        </w:tc>
      </w:tr>
      <w:tr w:rsidR="00D75C39">
        <w:trPr>
          <w:trHeight w:val="616"/>
        </w:trPr>
        <w:tc>
          <w:tcPr>
            <w:tcW w:w="1368" w:type="dxa"/>
            <w:vMerge/>
          </w:tcPr>
          <w:p w:rsidR="00D75C39" w:rsidRDefault="00D75C39">
            <w:pPr>
              <w:jc w:val="center"/>
              <w:rPr>
                <w:rFonts w:ascii="仿宋_GB2312" w:eastAsia="仿宋_GB2312"/>
                <w:color w:val="000000"/>
                <w:sz w:val="24"/>
              </w:rPr>
            </w:pPr>
          </w:p>
        </w:tc>
        <w:tc>
          <w:tcPr>
            <w:tcW w:w="0" w:type="auto"/>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sz w:val="21"/>
                <w:szCs w:val="21"/>
                <w:lang w:eastAsia="zh-CN"/>
              </w:rPr>
              <w:t>臭气浓度</w:t>
            </w:r>
          </w:p>
        </w:tc>
        <w:tc>
          <w:tcPr>
            <w:tcW w:w="2700" w:type="dxa"/>
            <w:vMerge/>
          </w:tcPr>
          <w:p w:rsidR="00D75C39" w:rsidRDefault="00D75C39">
            <w:pPr>
              <w:jc w:val="center"/>
              <w:rPr>
                <w:rFonts w:ascii="仿宋_GB2312" w:eastAsia="仿宋_GB2312"/>
                <w:color w:val="000000"/>
                <w:sz w:val="24"/>
              </w:rPr>
            </w:pP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10</w:t>
            </w:r>
          </w:p>
        </w:tc>
      </w:tr>
      <w:tr w:rsidR="00D75C39">
        <w:trPr>
          <w:trHeight w:val="616"/>
        </w:trPr>
        <w:tc>
          <w:tcPr>
            <w:tcW w:w="1368" w:type="dxa"/>
            <w:vMerge/>
          </w:tcPr>
          <w:p w:rsidR="00D75C39" w:rsidRDefault="00D75C39">
            <w:pPr>
              <w:jc w:val="center"/>
              <w:rPr>
                <w:rFonts w:ascii="仿宋_GB2312" w:eastAsia="仿宋_GB2312"/>
                <w:color w:val="000000"/>
                <w:sz w:val="24"/>
              </w:rPr>
            </w:pPr>
          </w:p>
        </w:tc>
        <w:tc>
          <w:tcPr>
            <w:tcW w:w="0" w:type="auto"/>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氨</w:t>
            </w:r>
          </w:p>
        </w:tc>
        <w:tc>
          <w:tcPr>
            <w:tcW w:w="2700" w:type="dxa"/>
            <w:vMerge/>
          </w:tcPr>
          <w:p w:rsidR="00D75C39" w:rsidRDefault="00D75C39">
            <w:pPr>
              <w:jc w:val="center"/>
              <w:rPr>
                <w:rFonts w:ascii="仿宋_GB2312" w:eastAsia="仿宋_GB2312"/>
                <w:color w:val="000000"/>
                <w:sz w:val="24"/>
              </w:rPr>
            </w:pP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一级标准</w:t>
            </w: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0.5</w:t>
            </w:r>
          </w:p>
        </w:tc>
      </w:tr>
      <w:tr w:rsidR="00D75C39">
        <w:trPr>
          <w:trHeight w:val="616"/>
        </w:trPr>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噪声</w:t>
            </w:r>
          </w:p>
        </w:tc>
        <w:tc>
          <w:tcPr>
            <w:tcW w:w="1620" w:type="dxa"/>
            <w:vAlign w:val="center"/>
          </w:tcPr>
          <w:p w:rsidR="00D75C39" w:rsidRDefault="003110C4">
            <w:pPr>
              <w:pStyle w:val="a8"/>
              <w:snapToGrid w:val="0"/>
              <w:spacing w:line="240" w:lineRule="auto"/>
              <w:ind w:left="0"/>
              <w:jc w:val="center"/>
              <w:rPr>
                <w:rFonts w:ascii="仿宋" w:eastAsia="仿宋" w:hAnsi="仿宋"/>
                <w:sz w:val="21"/>
                <w:szCs w:val="21"/>
                <w:lang w:eastAsia="zh-CN"/>
              </w:rPr>
            </w:pPr>
            <w:r>
              <w:rPr>
                <w:rFonts w:ascii="仿宋" w:eastAsia="仿宋" w:hAnsi="仿宋" w:hint="eastAsia"/>
                <w:sz w:val="21"/>
                <w:szCs w:val="21"/>
                <w:lang w:eastAsia="zh-CN"/>
              </w:rPr>
              <w:t>噪声</w:t>
            </w:r>
          </w:p>
        </w:tc>
        <w:tc>
          <w:tcPr>
            <w:tcW w:w="2700" w:type="dxa"/>
          </w:tcPr>
          <w:p w:rsidR="00D75C39" w:rsidRDefault="003110C4">
            <w:pPr>
              <w:widowControl/>
              <w:jc w:val="center"/>
              <w:textAlignment w:val="center"/>
              <w:rPr>
                <w:rFonts w:ascii="仿宋" w:eastAsia="仿宋" w:hAnsi="仿宋"/>
                <w:kern w:val="0"/>
                <w:szCs w:val="21"/>
                <w:lang w:bidi="en-US"/>
              </w:rPr>
            </w:pPr>
            <w:r>
              <w:rPr>
                <w:rFonts w:ascii="仿宋" w:eastAsia="仿宋" w:hAnsi="仿宋" w:hint="eastAsia"/>
                <w:kern w:val="0"/>
                <w:szCs w:val="21"/>
                <w:lang w:bidi="en-US"/>
              </w:rPr>
              <w:t>GB 12348-2008</w:t>
            </w:r>
          </w:p>
          <w:p w:rsidR="00D75C39" w:rsidRDefault="003110C4">
            <w:pPr>
              <w:jc w:val="center"/>
              <w:rPr>
                <w:rFonts w:ascii="仿宋_GB2312" w:eastAsia="仿宋_GB2312"/>
                <w:color w:val="000000"/>
                <w:sz w:val="24"/>
              </w:rPr>
            </w:pPr>
            <w:r>
              <w:rPr>
                <w:rFonts w:ascii="仿宋" w:eastAsia="仿宋" w:hAnsi="仿宋" w:hint="eastAsia"/>
                <w:kern w:val="0"/>
                <w:szCs w:val="21"/>
                <w:lang w:bidi="en-US"/>
              </w:rPr>
              <w:t xml:space="preserve">工业企业厂界环境噪声排放标准 </w:t>
            </w:r>
          </w:p>
        </w:tc>
        <w:tc>
          <w:tcPr>
            <w:tcW w:w="0" w:type="auto"/>
          </w:tcPr>
          <w:p w:rsidR="00D75C39" w:rsidRDefault="00D75C39">
            <w:pPr>
              <w:jc w:val="center"/>
              <w:rPr>
                <w:rFonts w:ascii="仿宋_GB2312" w:eastAsia="仿宋_GB2312"/>
                <w:color w:val="000000"/>
                <w:sz w:val="24"/>
              </w:rPr>
            </w:pPr>
          </w:p>
        </w:tc>
        <w:tc>
          <w:tcPr>
            <w:tcW w:w="0" w:type="auto"/>
          </w:tcPr>
          <w:p w:rsidR="00D75C39" w:rsidRDefault="003110C4">
            <w:pPr>
              <w:jc w:val="center"/>
              <w:rPr>
                <w:rFonts w:ascii="仿宋_GB2312" w:eastAsia="仿宋_GB2312"/>
                <w:color w:val="000000"/>
                <w:sz w:val="24"/>
              </w:rPr>
            </w:pPr>
            <w:r>
              <w:rPr>
                <w:rFonts w:ascii="仿宋_GB2312" w:eastAsia="仿宋_GB2312" w:hint="eastAsia"/>
                <w:color w:val="000000"/>
                <w:sz w:val="24"/>
              </w:rPr>
              <w:t>昼间：65夜间：55</w:t>
            </w:r>
          </w:p>
        </w:tc>
      </w:tr>
    </w:tbl>
    <w:p w:rsidR="00D75C39" w:rsidRDefault="00D75C39">
      <w:pPr>
        <w:jc w:val="center"/>
        <w:rPr>
          <w:color w:val="000000"/>
          <w:sz w:val="32"/>
          <w:szCs w:val="32"/>
        </w:rPr>
      </w:pPr>
    </w:p>
    <w:p w:rsidR="00D75C39" w:rsidRDefault="003110C4">
      <w:pPr>
        <w:numPr>
          <w:ilvl w:val="0"/>
          <w:numId w:val="2"/>
        </w:numPr>
        <w:rPr>
          <w:rFonts w:ascii="楷体_GB2312" w:eastAsia="楷体_GB2312"/>
          <w:b/>
          <w:sz w:val="32"/>
          <w:szCs w:val="32"/>
        </w:rPr>
      </w:pPr>
      <w:r>
        <w:rPr>
          <w:rFonts w:ascii="楷体_GB2312" w:eastAsia="楷体_GB2312" w:hint="eastAsia"/>
          <w:b/>
          <w:sz w:val="32"/>
          <w:szCs w:val="32"/>
        </w:rPr>
        <w:t>质量控制和质量保证措施</w:t>
      </w:r>
    </w:p>
    <w:p w:rsidR="00D75C39" w:rsidRDefault="003110C4">
      <w:pPr>
        <w:ind w:firstLineChars="200" w:firstLine="640"/>
        <w:rPr>
          <w:rFonts w:ascii="仿宋_GB2312" w:eastAsia="仿宋_GB2312"/>
          <w:color w:val="000000"/>
          <w:sz w:val="32"/>
          <w:szCs w:val="32"/>
        </w:rPr>
      </w:pPr>
      <w:r>
        <w:rPr>
          <w:rFonts w:hint="eastAsia"/>
          <w:color w:val="000000"/>
          <w:sz w:val="32"/>
          <w:szCs w:val="32"/>
        </w:rPr>
        <w:t>（</w:t>
      </w:r>
      <w:r>
        <w:rPr>
          <w:rFonts w:ascii="仿宋_GB2312" w:eastAsia="仿宋_GB2312" w:hint="eastAsia"/>
          <w:color w:val="000000"/>
          <w:sz w:val="32"/>
          <w:szCs w:val="32"/>
        </w:rPr>
        <w:t>一）按照《固定污染源监测质量保证与质量控制技术规范》（试行）（HJ/T373-2007）进行。</w:t>
      </w:r>
    </w:p>
    <w:p w:rsidR="00D75C39" w:rsidRDefault="003110C4">
      <w:pPr>
        <w:tabs>
          <w:tab w:val="left" w:pos="1080"/>
        </w:tabs>
        <w:spacing w:line="360" w:lineRule="auto"/>
        <w:ind w:firstLineChars="200" w:firstLine="640"/>
        <w:rPr>
          <w:rFonts w:ascii="仿宋_GB2312" w:eastAsia="仿宋_GB2312" w:hAnsi="宋体"/>
          <w:sz w:val="24"/>
        </w:rPr>
      </w:pPr>
      <w:r>
        <w:rPr>
          <w:rFonts w:ascii="仿宋_GB2312" w:eastAsia="仿宋_GB2312" w:hint="eastAsia"/>
          <w:color w:val="000000"/>
          <w:sz w:val="32"/>
          <w:szCs w:val="32"/>
        </w:rPr>
        <w:t>（二）合理布设监测点位，保证各监测点位布设的科学性和代表性，监测点位的选择严格执行《</w:t>
      </w:r>
      <w:r>
        <w:rPr>
          <w:rFonts w:ascii="仿宋_GB2312" w:eastAsia="仿宋_GB2312" w:hint="eastAsia"/>
          <w:sz w:val="32"/>
          <w:szCs w:val="32"/>
        </w:rPr>
        <w:t>污染源监控现场端建设规范</w:t>
      </w:r>
      <w:r>
        <w:rPr>
          <w:rFonts w:ascii="仿宋_GB2312" w:eastAsia="仿宋_GB2312" w:hint="eastAsia"/>
          <w:color w:val="000000"/>
          <w:sz w:val="32"/>
          <w:szCs w:val="32"/>
        </w:rPr>
        <w:t>》（环发[2008]25号）中的要求。采样人员遵守采样操作规程，认真填写采样记录，按规定保存、运输样品。同时，监测分析方法均采用国家标准或环保部颁布的分析方法，所有监测仪器、量具均经过质检部门检定合格并在有效</w:t>
      </w:r>
      <w:r>
        <w:rPr>
          <w:rFonts w:ascii="仿宋_GB2312" w:eastAsia="仿宋_GB2312" w:hint="eastAsia"/>
          <w:color w:val="000000"/>
          <w:sz w:val="32"/>
          <w:szCs w:val="32"/>
        </w:rPr>
        <w:lastRenderedPageBreak/>
        <w:t>期内使用。化验分析人员要经考核持证上岗，操作人员必须正确掌握有关仪器设备的原理、操作和使用，符合相应的技术规范，污染源自动监控设备的操作人员和维护人员具有省级环境保护主管部门颁发的污染源自动监测数据有效性审核培训等</w:t>
      </w:r>
      <w:r>
        <w:rPr>
          <w:rFonts w:ascii="仿宋_GB2312" w:eastAsia="仿宋_GB2312" w:hint="eastAsia"/>
          <w:sz w:val="32"/>
          <w:szCs w:val="32"/>
        </w:rPr>
        <w:t>专业能力证书。</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（三）严格执行监测方案。建立技术档案，认真如实填写各项自行监测记录及校验记录并妥善保存记录台帐。系统技术文件的健全是对污染源自动监控系统中的监测仪器进行科学管理的体现，</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1、技术档案内容</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⑴</w:t>
      </w:r>
      <w:r>
        <w:rPr>
          <w:rFonts w:ascii="仿宋_GB2312" w:eastAsia="仿宋_GB2312" w:hint="eastAsia"/>
          <w:color w:val="000000"/>
          <w:sz w:val="32"/>
          <w:szCs w:val="32"/>
        </w:rPr>
        <w:t>设备的生产厂家、系统的安装单位和竣工验收记录；</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⑵</w:t>
      </w:r>
      <w:r>
        <w:rPr>
          <w:rFonts w:ascii="仿宋_GB2312" w:eastAsia="仿宋_GB2312" w:hint="eastAsia"/>
          <w:color w:val="000000"/>
          <w:sz w:val="32"/>
          <w:szCs w:val="32"/>
        </w:rPr>
        <w:t>监测仪器的校准、零点和量程漂移、重复性、实际水样的比对和质控样试验的例行检查记录；</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⑶监测（</w:t>
      </w:r>
      <w:r>
        <w:rPr>
          <w:rFonts w:ascii="仿宋_GB2312" w:eastAsia="仿宋_GB2312" w:hint="eastAsia"/>
          <w:color w:val="000000"/>
          <w:sz w:val="32"/>
          <w:szCs w:val="32"/>
        </w:rPr>
        <w:t>监控</w:t>
      </w:r>
      <w:r>
        <w:rPr>
          <w:rFonts w:ascii="仿宋_GB2312" w:eastAsia="仿宋_GB2312" w:hAnsi="宋体" w:hint="eastAsia"/>
          <w:color w:val="000000"/>
          <w:sz w:val="32"/>
          <w:szCs w:val="32"/>
        </w:rPr>
        <w:t>）</w:t>
      </w:r>
      <w:r>
        <w:rPr>
          <w:rFonts w:ascii="仿宋_GB2312" w:eastAsia="仿宋_GB2312" w:hint="eastAsia"/>
          <w:color w:val="000000"/>
          <w:sz w:val="32"/>
          <w:szCs w:val="32"/>
        </w:rPr>
        <w:t>仪器的运行调试报告、例行检查和维护保养记录；</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⑷</w:t>
      </w:r>
      <w:r>
        <w:rPr>
          <w:rFonts w:ascii="仿宋_GB2312" w:eastAsia="仿宋_GB2312" w:hint="eastAsia"/>
          <w:color w:val="000000"/>
          <w:sz w:val="32"/>
          <w:szCs w:val="32"/>
        </w:rPr>
        <w:t>检测机构的检定和校验记录；</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⑸仪器设备的检修、易耗品的更换记录；</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⑹</w:t>
      </w:r>
      <w:r>
        <w:rPr>
          <w:rFonts w:ascii="仿宋_GB2312" w:eastAsia="仿宋_GB2312" w:hint="eastAsia"/>
          <w:color w:val="000000"/>
          <w:sz w:val="32"/>
          <w:szCs w:val="32"/>
        </w:rPr>
        <w:t>各种仪器的操作、使用、维护规范</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2、技术档案基本要求</w:t>
      </w:r>
    </w:p>
    <w:p w:rsidR="00D75C39" w:rsidRDefault="003110C4">
      <w:pPr>
        <w:numPr>
          <w:ilvl w:val="0"/>
          <w:numId w:val="3"/>
        </w:numPr>
        <w:rPr>
          <w:rFonts w:ascii="仿宋_GB2312" w:eastAsia="仿宋_GB2312"/>
          <w:color w:val="000000"/>
          <w:sz w:val="32"/>
          <w:szCs w:val="32"/>
        </w:rPr>
      </w:pPr>
      <w:r>
        <w:rPr>
          <w:rFonts w:ascii="仿宋_GB2312" w:eastAsia="仿宋_GB2312" w:hint="eastAsia"/>
          <w:color w:val="000000"/>
          <w:sz w:val="32"/>
          <w:szCs w:val="32"/>
        </w:rPr>
        <w:t>档案中的表格采用统一的标准表格；</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⑵</w:t>
      </w:r>
      <w:r>
        <w:rPr>
          <w:rFonts w:ascii="仿宋_GB2312" w:eastAsia="仿宋_GB2312" w:hint="eastAsia"/>
          <w:color w:val="000000"/>
          <w:sz w:val="32"/>
          <w:szCs w:val="32"/>
        </w:rPr>
        <w:t>记录清晰、完整，现场记录必须在现场及时填写，有专业维护人员的签字；</w:t>
      </w:r>
    </w:p>
    <w:p w:rsidR="00D75C39" w:rsidRDefault="003110C4">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⑶可从技术档案中查阅和了解仪器设备的使用、维修和性能检验等全部历史资料，以对运行的各台仪器设备做出正确评价；</w:t>
      </w:r>
    </w:p>
    <w:p w:rsidR="00D75C39" w:rsidRDefault="003110C4">
      <w:pPr>
        <w:ind w:firstLineChars="200" w:firstLine="640"/>
        <w:rPr>
          <w:rFonts w:ascii="仿宋_GB2312" w:eastAsia="仿宋_GB2312"/>
          <w:color w:val="000000"/>
          <w:sz w:val="32"/>
          <w:szCs w:val="32"/>
        </w:rPr>
      </w:pPr>
      <w:r>
        <w:rPr>
          <w:rFonts w:ascii="仿宋_GB2312" w:eastAsia="仿宋_GB2312" w:hAnsi="宋体" w:hint="eastAsia"/>
          <w:color w:val="000000"/>
          <w:sz w:val="32"/>
          <w:szCs w:val="32"/>
        </w:rPr>
        <w:t>⑷</w:t>
      </w:r>
      <w:r>
        <w:rPr>
          <w:rFonts w:ascii="仿宋_GB2312" w:eastAsia="仿宋_GB2312" w:hint="eastAsia"/>
          <w:color w:val="000000"/>
          <w:sz w:val="32"/>
          <w:szCs w:val="32"/>
        </w:rPr>
        <w:t>与仪器相关的记录放置在现场，所有记录均妥善保存。</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（四）废水污染物自动监测质量保证措施</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按照《水污染源在线监测系统运行与考核技术规范》（试行）HJ/T355-2007、《水污染源在线监测系统有效性判别技术规范》（试行）HJ/T356-2007的要求，严格进行自动监控设备的日常运行管理，以保证废水污染物自动监测设备的正常运行及自动监测数据的有效性。具体保证措施见表5。</w:t>
      </w:r>
    </w:p>
    <w:p w:rsidR="00D75C39" w:rsidRDefault="003110C4">
      <w:pPr>
        <w:jc w:val="center"/>
        <w:rPr>
          <w:rFonts w:ascii="仿宋_GB2312" w:eastAsia="仿宋_GB2312"/>
          <w:b/>
          <w:color w:val="000000"/>
          <w:szCs w:val="21"/>
        </w:rPr>
      </w:pPr>
      <w:r>
        <w:rPr>
          <w:rFonts w:ascii="仿宋_GB2312" w:eastAsia="仿宋_GB2312" w:hint="eastAsia"/>
          <w:b/>
          <w:color w:val="000000"/>
          <w:szCs w:val="21"/>
        </w:rPr>
        <w:t>表5 废水污染物自动监测质量保证措施</w:t>
      </w:r>
    </w:p>
    <w:tbl>
      <w:tblPr>
        <w:tblW w:w="0" w:type="auto"/>
        <w:tblBorders>
          <w:top w:val="thinThickSmallGap" w:sz="24" w:space="0" w:color="auto"/>
          <w:bottom w:val="thickThinSmallGap" w:sz="24" w:space="0" w:color="auto"/>
          <w:insideH w:val="single" w:sz="4" w:space="0" w:color="auto"/>
          <w:insideV w:val="single" w:sz="4" w:space="0" w:color="auto"/>
        </w:tblBorders>
        <w:tblLook w:val="04A0"/>
      </w:tblPr>
      <w:tblGrid>
        <w:gridCol w:w="959"/>
        <w:gridCol w:w="1984"/>
        <w:gridCol w:w="5579"/>
      </w:tblGrid>
      <w:tr w:rsidR="00D75C39">
        <w:trPr>
          <w:trHeight w:val="629"/>
        </w:trPr>
        <w:tc>
          <w:tcPr>
            <w:tcW w:w="2943" w:type="dxa"/>
            <w:gridSpan w:val="2"/>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工作内容</w:t>
            </w:r>
          </w:p>
        </w:tc>
        <w:tc>
          <w:tcPr>
            <w:tcW w:w="5579" w:type="dxa"/>
            <w:noWrap/>
            <w:vAlign w:val="center"/>
          </w:tcPr>
          <w:p w:rsidR="00D75C39" w:rsidRDefault="003110C4">
            <w:pPr>
              <w:jc w:val="center"/>
              <w:rPr>
                <w:rFonts w:ascii="仿宋_GB2312" w:eastAsia="仿宋_GB2312"/>
                <w:b/>
                <w:color w:val="000000"/>
                <w:sz w:val="24"/>
              </w:rPr>
            </w:pPr>
            <w:r>
              <w:rPr>
                <w:rFonts w:ascii="仿宋_GB2312" w:eastAsia="仿宋_GB2312" w:hint="eastAsia"/>
                <w:b/>
                <w:color w:val="000000"/>
                <w:sz w:val="24"/>
              </w:rPr>
              <w:t>保证措施</w:t>
            </w:r>
          </w:p>
        </w:tc>
      </w:tr>
      <w:tr w:rsidR="00D75C39">
        <w:trPr>
          <w:trHeight w:val="850"/>
        </w:trPr>
        <w:tc>
          <w:tcPr>
            <w:tcW w:w="959"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运行与日常维护</w:t>
            </w: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站房、辅助设备</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保持站房清洁，保证监测站房内的温度、湿度满足仪器正常运行的需求，辅助设备工作正常</w:t>
            </w:r>
          </w:p>
        </w:tc>
      </w:tr>
      <w:tr w:rsidR="00D75C39">
        <w:trPr>
          <w:trHeight w:val="834"/>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采水、排水及内部管路</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定期维护和清洁，保证内部管路畅通，防止堵塞和泄露</w:t>
            </w:r>
          </w:p>
        </w:tc>
      </w:tr>
      <w:tr w:rsidR="00D75C39">
        <w:trPr>
          <w:trHeight w:val="846"/>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自动分析仪</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定期清洗、定期更换试剂、定期更换易耗品、定期校准仪器</w:t>
            </w:r>
          </w:p>
        </w:tc>
      </w:tr>
      <w:tr w:rsidR="00D75C39">
        <w:trPr>
          <w:trHeight w:val="560"/>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电路、仪器传输</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保持电路、仪器传输系统正常工作</w:t>
            </w:r>
          </w:p>
        </w:tc>
      </w:tr>
      <w:tr w:rsidR="00D75C39">
        <w:trPr>
          <w:trHeight w:val="1408"/>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维护工作量</w:t>
            </w:r>
          </w:p>
        </w:tc>
        <w:tc>
          <w:tcPr>
            <w:tcW w:w="5579" w:type="dxa"/>
            <w:noWrap/>
            <w:vAlign w:val="center"/>
          </w:tcPr>
          <w:p w:rsidR="00D75C39" w:rsidRDefault="003110C4">
            <w:pPr>
              <w:jc w:val="left"/>
              <w:rPr>
                <w:rFonts w:ascii="仿宋_GB2312" w:eastAsia="仿宋_GB2312"/>
                <w:color w:val="000000"/>
                <w:sz w:val="24"/>
              </w:rPr>
            </w:pPr>
            <w:r>
              <w:rPr>
                <w:rFonts w:ascii="仿宋_GB2312" w:eastAsia="仿宋_GB2312" w:hint="eastAsia"/>
                <w:color w:val="000000"/>
                <w:sz w:val="24"/>
              </w:rPr>
              <w:t xml:space="preserve">    按照《水污染源在线监测系统运行与考核技术规范》（试行）HJ/T355-2007中对自动监控仪器的日常运行与维护的要求定时远程监控及对自动监控仪器设备进行现场维护</w:t>
            </w:r>
          </w:p>
        </w:tc>
      </w:tr>
      <w:tr w:rsidR="00D75C39">
        <w:trPr>
          <w:trHeight w:val="1400"/>
        </w:trPr>
        <w:tc>
          <w:tcPr>
            <w:tcW w:w="959"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校验</w:t>
            </w:r>
          </w:p>
        </w:tc>
        <w:tc>
          <w:tcPr>
            <w:tcW w:w="1984" w:type="dxa"/>
            <w:noWrap/>
            <w:vAlign w:val="center"/>
          </w:tcPr>
          <w:p w:rsidR="00D75C39" w:rsidRDefault="00D75C39">
            <w:pPr>
              <w:jc w:val="center"/>
              <w:rPr>
                <w:rFonts w:ascii="仿宋_GB2312" w:eastAsia="仿宋_GB2312"/>
                <w:color w:val="000000"/>
                <w:sz w:val="24"/>
              </w:rPr>
            </w:pP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每月至少进行一次实际水样比对实验和质控样实验，每季度各进行一次重复性、零点漂移和量程漂移试验，实验结果各项指标均应满足相关技术规范要求</w:t>
            </w:r>
          </w:p>
        </w:tc>
      </w:tr>
      <w:tr w:rsidR="00D75C39">
        <w:trPr>
          <w:trHeight w:val="1688"/>
        </w:trPr>
        <w:tc>
          <w:tcPr>
            <w:tcW w:w="959"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lastRenderedPageBreak/>
              <w:t>检修</w:t>
            </w:r>
          </w:p>
        </w:tc>
        <w:tc>
          <w:tcPr>
            <w:tcW w:w="1984" w:type="dxa"/>
            <w:noWrap/>
            <w:vAlign w:val="center"/>
          </w:tcPr>
          <w:p w:rsidR="00D75C39" w:rsidRDefault="00D75C39">
            <w:pPr>
              <w:jc w:val="center"/>
              <w:rPr>
                <w:rFonts w:ascii="仿宋_GB2312" w:eastAsia="仿宋_GB2312"/>
                <w:color w:val="000000"/>
                <w:sz w:val="24"/>
              </w:rPr>
            </w:pPr>
          </w:p>
        </w:tc>
        <w:tc>
          <w:tcPr>
            <w:tcW w:w="5579" w:type="dxa"/>
            <w:noWrap/>
            <w:vAlign w:val="center"/>
          </w:tcPr>
          <w:p w:rsidR="00D75C39" w:rsidRDefault="003110C4">
            <w:pPr>
              <w:jc w:val="left"/>
              <w:rPr>
                <w:rFonts w:ascii="仿宋_GB2312" w:eastAsia="仿宋_GB2312"/>
                <w:color w:val="000000"/>
                <w:sz w:val="24"/>
              </w:rPr>
            </w:pPr>
            <w:r>
              <w:rPr>
                <w:rFonts w:ascii="仿宋_GB2312" w:eastAsia="仿宋_GB2312" w:hint="eastAsia"/>
                <w:color w:val="000000"/>
                <w:sz w:val="24"/>
              </w:rPr>
              <w:t xml:space="preserve">    按照《水污染源在线监测系统运行与考核技术规范》（试行）HJ/T355-2007中标准6的要求，对系统进行检修，更换后的仪器和修复后的仪器在运行之前按规定进行必要的检测和校准，各项指标要达到相关技术规范要求</w:t>
            </w:r>
          </w:p>
        </w:tc>
      </w:tr>
      <w:tr w:rsidR="00D75C39">
        <w:trPr>
          <w:trHeight w:val="706"/>
        </w:trPr>
        <w:tc>
          <w:tcPr>
            <w:tcW w:w="959"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质量控制和质量保证</w:t>
            </w: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操作人员</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操作人员经过培训考核合格，持证上岗，且专业能力证书在有效期内</w:t>
            </w:r>
          </w:p>
        </w:tc>
      </w:tr>
      <w:tr w:rsidR="00D75C39">
        <w:trPr>
          <w:trHeight w:val="510"/>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标准溶液</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定期对标准溶液进行核查，结果符合要求</w:t>
            </w:r>
          </w:p>
        </w:tc>
      </w:tr>
      <w:tr w:rsidR="00D75C39">
        <w:trPr>
          <w:trHeight w:val="1177"/>
        </w:trPr>
        <w:tc>
          <w:tcPr>
            <w:tcW w:w="959" w:type="dxa"/>
            <w:vMerge w:val="restart"/>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数据准确性</w:t>
            </w: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仪器技术指标</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自动监测仪器的各项性能指标应在《水污染源在线监测系统运行与考核技术规范》（试行）HJ/T355-2007表1中规定的范围内</w:t>
            </w:r>
          </w:p>
        </w:tc>
      </w:tr>
      <w:tr w:rsidR="00D75C39">
        <w:trPr>
          <w:trHeight w:val="1123"/>
        </w:trPr>
        <w:tc>
          <w:tcPr>
            <w:tcW w:w="959" w:type="dxa"/>
            <w:vMerge/>
            <w:noWrap/>
            <w:vAlign w:val="center"/>
          </w:tcPr>
          <w:p w:rsidR="00D75C39" w:rsidRDefault="00D75C39">
            <w:pPr>
              <w:jc w:val="center"/>
              <w:rPr>
                <w:rFonts w:ascii="仿宋_GB2312" w:eastAsia="仿宋_GB2312"/>
                <w:color w:val="000000"/>
                <w:sz w:val="24"/>
              </w:rPr>
            </w:pPr>
          </w:p>
        </w:tc>
        <w:tc>
          <w:tcPr>
            <w:tcW w:w="1984"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平均无故障连续运行时间</w:t>
            </w: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COD平均无故障连续运行时间大于等于360小时/次，其余项目平均无故障连续运行时间大于等于720小时/次</w:t>
            </w:r>
          </w:p>
        </w:tc>
      </w:tr>
      <w:tr w:rsidR="00D75C39">
        <w:trPr>
          <w:trHeight w:val="2685"/>
        </w:trPr>
        <w:tc>
          <w:tcPr>
            <w:tcW w:w="959"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数据数量要求</w:t>
            </w:r>
          </w:p>
        </w:tc>
        <w:tc>
          <w:tcPr>
            <w:tcW w:w="1984" w:type="dxa"/>
            <w:noWrap/>
            <w:vAlign w:val="center"/>
          </w:tcPr>
          <w:p w:rsidR="00D75C39" w:rsidRDefault="00D75C39">
            <w:pPr>
              <w:jc w:val="center"/>
              <w:rPr>
                <w:rFonts w:ascii="仿宋_GB2312" w:eastAsia="仿宋_GB2312"/>
                <w:color w:val="000000"/>
                <w:sz w:val="24"/>
              </w:rPr>
            </w:pPr>
          </w:p>
        </w:tc>
        <w:tc>
          <w:tcPr>
            <w:tcW w:w="5579" w:type="dxa"/>
            <w:noWrap/>
            <w:vAlign w:val="center"/>
          </w:tcPr>
          <w:p w:rsidR="00D75C39" w:rsidRDefault="003110C4">
            <w:pPr>
              <w:ind w:firstLine="480"/>
              <w:jc w:val="left"/>
              <w:rPr>
                <w:rFonts w:ascii="仿宋_GB2312" w:eastAsia="仿宋_GB2312"/>
                <w:color w:val="000000"/>
                <w:sz w:val="24"/>
              </w:rPr>
            </w:pPr>
            <w:r>
              <w:rPr>
                <w:rFonts w:ascii="仿宋_GB2312" w:eastAsia="仿宋_GB2312" w:hint="eastAsia"/>
                <w:color w:val="000000"/>
                <w:sz w:val="24"/>
              </w:rPr>
              <w:t>在连续排放的情况下，COD自动监测仪和氨氮自动分析仪至少每小时获得一个监测值，每天保证有24个测试数据，PH值和流量至少每10分钟获得一个监测值；</w:t>
            </w:r>
          </w:p>
          <w:p w:rsidR="00D75C39" w:rsidRDefault="003110C4">
            <w:pPr>
              <w:ind w:firstLine="480"/>
              <w:jc w:val="left"/>
              <w:rPr>
                <w:rFonts w:ascii="仿宋_GB2312" w:eastAsia="仿宋_GB2312"/>
                <w:color w:val="000000"/>
                <w:sz w:val="24"/>
              </w:rPr>
            </w:pPr>
            <w:r>
              <w:rPr>
                <w:rFonts w:ascii="仿宋_GB2312" w:eastAsia="仿宋_GB2312" w:hint="eastAsia"/>
                <w:color w:val="000000"/>
                <w:sz w:val="24"/>
              </w:rPr>
              <w:t>在间歇排放的情况下，COD自动监测仪和氨氮自动分析仪获得的数据要不小于污水累计排放小时数，PH值和流量监测数据数不小于污水累计排放小时数的6倍</w:t>
            </w:r>
          </w:p>
        </w:tc>
      </w:tr>
      <w:tr w:rsidR="00D75C39">
        <w:trPr>
          <w:trHeight w:val="838"/>
        </w:trPr>
        <w:tc>
          <w:tcPr>
            <w:tcW w:w="959" w:type="dxa"/>
            <w:noWrap/>
            <w:vAlign w:val="center"/>
          </w:tcPr>
          <w:p w:rsidR="00D75C39" w:rsidRDefault="003110C4">
            <w:pPr>
              <w:jc w:val="center"/>
              <w:rPr>
                <w:rFonts w:ascii="仿宋_GB2312" w:eastAsia="仿宋_GB2312"/>
                <w:color w:val="000000"/>
                <w:sz w:val="24"/>
              </w:rPr>
            </w:pPr>
            <w:r>
              <w:rPr>
                <w:rFonts w:ascii="仿宋_GB2312" w:eastAsia="仿宋_GB2312" w:hint="eastAsia"/>
                <w:color w:val="000000"/>
                <w:sz w:val="24"/>
              </w:rPr>
              <w:t>运转率</w:t>
            </w:r>
          </w:p>
        </w:tc>
        <w:tc>
          <w:tcPr>
            <w:tcW w:w="1984" w:type="dxa"/>
            <w:noWrap/>
            <w:vAlign w:val="center"/>
          </w:tcPr>
          <w:p w:rsidR="00D75C39" w:rsidRDefault="00D75C39">
            <w:pPr>
              <w:jc w:val="center"/>
              <w:rPr>
                <w:rFonts w:ascii="仿宋_GB2312" w:eastAsia="仿宋_GB2312"/>
                <w:color w:val="000000"/>
                <w:sz w:val="24"/>
              </w:rPr>
            </w:pPr>
          </w:p>
        </w:tc>
        <w:tc>
          <w:tcPr>
            <w:tcW w:w="5579" w:type="dxa"/>
            <w:noWrap/>
            <w:vAlign w:val="center"/>
          </w:tcPr>
          <w:p w:rsidR="00D75C39" w:rsidRDefault="003110C4">
            <w:pPr>
              <w:ind w:firstLineChars="200" w:firstLine="480"/>
              <w:jc w:val="left"/>
              <w:rPr>
                <w:rFonts w:ascii="仿宋_GB2312" w:eastAsia="仿宋_GB2312"/>
                <w:color w:val="000000"/>
                <w:sz w:val="24"/>
              </w:rPr>
            </w:pPr>
            <w:r>
              <w:rPr>
                <w:rFonts w:ascii="仿宋_GB2312" w:eastAsia="仿宋_GB2312" w:hint="eastAsia"/>
                <w:color w:val="000000"/>
                <w:sz w:val="24"/>
              </w:rPr>
              <w:t>设备运转率要达到90%以上，以保证监测数据的数量要求</w:t>
            </w:r>
          </w:p>
        </w:tc>
      </w:tr>
    </w:tbl>
    <w:p w:rsidR="00D75C39" w:rsidRDefault="00D75C39">
      <w:pPr>
        <w:ind w:firstLineChars="200" w:firstLine="640"/>
        <w:rPr>
          <w:color w:val="FF0000"/>
          <w:sz w:val="32"/>
          <w:szCs w:val="32"/>
        </w:rPr>
      </w:pP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（五）废水手工监测质量保证措施</w:t>
      </w:r>
    </w:p>
    <w:p w:rsidR="00D75C39" w:rsidRDefault="003110C4">
      <w:pPr>
        <w:ind w:firstLineChars="200" w:firstLine="640"/>
        <w:rPr>
          <w:rFonts w:ascii="仿宋_GB2312" w:eastAsia="仿宋_GB2312"/>
          <w:color w:val="000000"/>
          <w:sz w:val="32"/>
          <w:szCs w:val="32"/>
        </w:rPr>
      </w:pPr>
      <w:r>
        <w:rPr>
          <w:rFonts w:ascii="仿宋_GB2312" w:eastAsia="仿宋_GB2312" w:hint="eastAsia"/>
          <w:color w:val="000000"/>
          <w:sz w:val="32"/>
          <w:szCs w:val="32"/>
        </w:rPr>
        <w:t>手工监测要按照《地表水和污水监测技术规范》（HJ/T91-2002）的要求进行。</w:t>
      </w:r>
    </w:p>
    <w:p w:rsidR="00D75C39" w:rsidRDefault="003110C4">
      <w:pPr>
        <w:ind w:firstLineChars="200" w:firstLine="640"/>
        <w:rPr>
          <w:rFonts w:ascii="仿宋_GB2312" w:eastAsia="仿宋_GB2312"/>
          <w:sz w:val="32"/>
          <w:szCs w:val="32"/>
        </w:rPr>
      </w:pPr>
      <w:r>
        <w:rPr>
          <w:rFonts w:ascii="仿宋_GB2312" w:eastAsia="仿宋_GB2312" w:hint="eastAsia"/>
          <w:sz w:val="32"/>
          <w:szCs w:val="32"/>
        </w:rPr>
        <w:t>1、实验室应满足相关法律法规和技术规范或标准的要求，采取合理有效措施，保证实验室的设施、测试场所以及能源、采光、保温、通风等方面满足监测工作的实际要求，</w:t>
      </w:r>
      <w:r>
        <w:rPr>
          <w:rFonts w:ascii="仿宋_GB2312" w:eastAsia="仿宋_GB2312" w:hint="eastAsia"/>
          <w:sz w:val="32"/>
          <w:szCs w:val="32"/>
        </w:rPr>
        <w:lastRenderedPageBreak/>
        <w:t>保证环境条件不对监测结果的有效性、测量准确度、稳定性及操作产生不利影响。</w:t>
      </w:r>
    </w:p>
    <w:p w:rsidR="00D75C39" w:rsidRDefault="003110C4">
      <w:pPr>
        <w:spacing w:line="360" w:lineRule="auto"/>
        <w:ind w:firstLineChars="250" w:firstLine="800"/>
        <w:rPr>
          <w:rFonts w:ascii="仿宋_GB2312" w:eastAsia="仿宋_GB2312"/>
          <w:sz w:val="32"/>
          <w:szCs w:val="32"/>
        </w:rPr>
      </w:pPr>
      <w:r>
        <w:rPr>
          <w:rFonts w:ascii="仿宋_GB2312" w:eastAsia="仿宋_GB2312" w:hint="eastAsia"/>
          <w:sz w:val="32"/>
          <w:szCs w:val="32"/>
        </w:rPr>
        <w:t xml:space="preserve">2、人员素质是质量控制的保证。配备满足手工监测工作需要的专业人员，必须经过专业培训并考核合格，持证上岗。 </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3、确保监测分析仪器设施工作正常，满足项目监测精度要求。监测仪器设备的性能状况和量值是否可靠，直接影响到监测结果的准确性。因此要采取措施，保证所有仪器设备均处于受控状态，保证其正确操作使用和维护保养，使其始终处于良好的工作状态，并严格按照要求进行校准检定，以确保仪器设备量值准确可靠和进行溯源。</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4、保证监测方法选择正确，及时更新监测标准</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在进行具体监测工作时，应使用统一和公认的方法和程序，应以国家标准方法为首选方法，要随着时代的发展及时淘汰陈旧落后的监测方法和监测标准，尽量使用先进的、正确的方法来进行监测。</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5、数据处理和综合评价质量保证</w:t>
      </w:r>
    </w:p>
    <w:p w:rsidR="00D75C39" w:rsidRDefault="003110C4">
      <w:pPr>
        <w:spacing w:line="360" w:lineRule="auto"/>
        <w:ind w:firstLineChars="200" w:firstLine="640"/>
        <w:rPr>
          <w:rFonts w:ascii="仿宋_GB2312" w:eastAsia="仿宋_GB2312"/>
          <w:sz w:val="32"/>
          <w:szCs w:val="32"/>
        </w:rPr>
      </w:pPr>
      <w:r>
        <w:rPr>
          <w:rFonts w:ascii="仿宋_GB2312" w:eastAsia="仿宋_GB2312" w:hint="eastAsia"/>
          <w:sz w:val="32"/>
          <w:szCs w:val="32"/>
        </w:rPr>
        <w:t>在水质样品测定中，误差总是存在的，在实际分析中并不能得到准确无误的真值，测定中的数据只能做出相对准确的估计。所以定量分析的结果必然存在不确定度，需要对实验得到的数据进行分析，判断数据的可靠性和代表性。数据处理包含的主要内容有，监测数据的记录整理、监测数据有</w:t>
      </w:r>
      <w:r>
        <w:rPr>
          <w:rFonts w:ascii="仿宋_GB2312" w:eastAsia="仿宋_GB2312" w:hint="eastAsia"/>
          <w:sz w:val="32"/>
          <w:szCs w:val="32"/>
        </w:rPr>
        <w:lastRenderedPageBreak/>
        <w:t>效性检查、监测数据离群性检查、监测数据统计检验、监测数据方差分析。</w:t>
      </w:r>
    </w:p>
    <w:p w:rsidR="00D75C39" w:rsidRDefault="003110C4">
      <w:pPr>
        <w:numPr>
          <w:ilvl w:val="0"/>
          <w:numId w:val="2"/>
        </w:numPr>
        <w:ind w:left="0" w:firstLine="0"/>
        <w:rPr>
          <w:rFonts w:ascii="楷体_GB2312" w:eastAsia="楷体_GB2312"/>
          <w:b/>
          <w:sz w:val="32"/>
          <w:szCs w:val="32"/>
        </w:rPr>
      </w:pPr>
      <w:r>
        <w:rPr>
          <w:rFonts w:ascii="楷体_GB2312" w:eastAsia="楷体_GB2312" w:hint="eastAsia"/>
          <w:b/>
          <w:sz w:val="32"/>
          <w:szCs w:val="32"/>
        </w:rPr>
        <w:t>监测结果公开的网站网址</w:t>
      </w:r>
    </w:p>
    <w:p w:rsidR="00D75C39" w:rsidRDefault="003110C4">
      <w:pPr>
        <w:ind w:left="1"/>
        <w:rPr>
          <w:rFonts w:ascii="仿宋_GB2312" w:eastAsia="仿宋_GB2312"/>
          <w:sz w:val="32"/>
          <w:szCs w:val="32"/>
        </w:rPr>
      </w:pPr>
      <w:r>
        <w:rPr>
          <w:rFonts w:ascii="仿宋_GB2312" w:eastAsia="仿宋_GB2312" w:hint="eastAsia"/>
          <w:sz w:val="32"/>
          <w:szCs w:val="32"/>
        </w:rPr>
        <w:t>（一）对外公布方式：</w:t>
      </w:r>
    </w:p>
    <w:p w:rsidR="00D75C39" w:rsidRDefault="003110C4">
      <w:pPr>
        <w:ind w:left="1" w:firstLineChars="200" w:firstLine="640"/>
        <w:rPr>
          <w:rFonts w:ascii="仿宋_GB2312" w:eastAsia="仿宋_GB2312"/>
          <w:sz w:val="32"/>
          <w:szCs w:val="32"/>
        </w:rPr>
      </w:pPr>
      <w:r>
        <w:rPr>
          <w:rFonts w:ascii="仿宋_GB2312" w:eastAsia="仿宋_GB2312" w:hint="eastAsia"/>
          <w:sz w:val="32"/>
          <w:szCs w:val="32"/>
        </w:rPr>
        <w:t>我单位将通过吉林省环境保护厅统一组织建立的公布平台上公开自行监测信息，并且至少保存一年</w:t>
      </w:r>
    </w:p>
    <w:p w:rsidR="00D75C39" w:rsidRDefault="003110C4">
      <w:pPr>
        <w:tabs>
          <w:tab w:val="left" w:pos="1080"/>
        </w:tabs>
        <w:spacing w:line="360" w:lineRule="auto"/>
        <w:rPr>
          <w:rFonts w:ascii="仿宋_GB2312" w:eastAsia="仿宋_GB2312"/>
          <w:sz w:val="32"/>
          <w:szCs w:val="32"/>
        </w:rPr>
      </w:pPr>
      <w:r>
        <w:rPr>
          <w:rFonts w:ascii="仿宋_GB2312" w:eastAsia="仿宋_GB2312" w:hint="eastAsia"/>
          <w:sz w:val="32"/>
          <w:szCs w:val="32"/>
        </w:rPr>
        <w:t>（二）公布内容：</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1、基础信息：企业名称、法人代表、所属行业、地理位置、生产周期、联系方式等；</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2、自行监测方案；</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3、自行监测结果：全部监测点位（只需公布排放口的监测结果）、监测时间、污染物种类浓度、标准限值、过标情况、超标倍数、污染物排放方式及排放去向；</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4、污染源监测年度报告。</w:t>
      </w:r>
    </w:p>
    <w:p w:rsidR="00D75C39" w:rsidRDefault="003110C4">
      <w:pPr>
        <w:tabs>
          <w:tab w:val="left" w:pos="1080"/>
        </w:tabs>
        <w:spacing w:line="360" w:lineRule="auto"/>
        <w:rPr>
          <w:rFonts w:ascii="仿宋_GB2312" w:eastAsia="仿宋_GB2312"/>
          <w:sz w:val="32"/>
          <w:szCs w:val="32"/>
        </w:rPr>
      </w:pPr>
      <w:r>
        <w:rPr>
          <w:rFonts w:ascii="仿宋_GB2312" w:eastAsia="仿宋_GB2312" w:hint="eastAsia"/>
          <w:sz w:val="32"/>
          <w:szCs w:val="32"/>
        </w:rPr>
        <w:t>（三）公布时限：</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1、企业基础信息随监测数据一并公布；</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2、污水污染物通过污染源自动监控设施实时监测，在公共平台将自动监测数据实时公布，自动监测数据为小时均值。</w:t>
      </w:r>
    </w:p>
    <w:p w:rsidR="00D75C39" w:rsidRDefault="003110C4">
      <w:pPr>
        <w:tabs>
          <w:tab w:val="left" w:pos="1080"/>
        </w:tabs>
        <w:spacing w:line="360" w:lineRule="auto"/>
        <w:ind w:firstLineChars="200" w:firstLine="640"/>
        <w:rPr>
          <w:rFonts w:ascii="仿宋_GB2312" w:eastAsia="仿宋_GB2312"/>
          <w:sz w:val="32"/>
          <w:szCs w:val="32"/>
        </w:rPr>
      </w:pPr>
      <w:r>
        <w:rPr>
          <w:rFonts w:ascii="仿宋_GB2312" w:eastAsia="仿宋_GB2312" w:hint="eastAsia"/>
          <w:sz w:val="32"/>
          <w:szCs w:val="32"/>
        </w:rPr>
        <w:t>3、手工监测数据将于每次监测完成后的次日公布。委托第三方检测数据为采样后10日内，监测完成后次日公开。</w:t>
      </w:r>
    </w:p>
    <w:p w:rsidR="00D75C39" w:rsidRDefault="00D75C39"/>
    <w:sectPr w:rsidR="00D75C39" w:rsidSect="00D75C39">
      <w:pgSz w:w="11906" w:h="16838"/>
      <w:pgMar w:top="1440" w:right="1800" w:bottom="1702"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AA8" w:rsidRDefault="00B44AA8" w:rsidP="00C97EB6">
      <w:r>
        <w:separator/>
      </w:r>
    </w:p>
  </w:endnote>
  <w:endnote w:type="continuationSeparator" w:id="1">
    <w:p w:rsidR="00B44AA8" w:rsidRDefault="00B44AA8" w:rsidP="00C97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AA8" w:rsidRDefault="00B44AA8" w:rsidP="00C97EB6">
      <w:r>
        <w:separator/>
      </w:r>
    </w:p>
  </w:footnote>
  <w:footnote w:type="continuationSeparator" w:id="1">
    <w:p w:rsidR="00B44AA8" w:rsidRDefault="00B44AA8" w:rsidP="00C97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46626"/>
    <w:multiLevelType w:val="multilevel"/>
    <w:tmpl w:val="2D346626"/>
    <w:lvl w:ilvl="0">
      <w:start w:val="1"/>
      <w:numFmt w:val="japaneseCounting"/>
      <w:lvlText w:val="（%1）"/>
      <w:lvlJc w:val="left"/>
      <w:pPr>
        <w:tabs>
          <w:tab w:val="left" w:pos="1080"/>
        </w:tabs>
        <w:ind w:left="1080" w:hanging="10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3CB107D9"/>
    <w:multiLevelType w:val="multilevel"/>
    <w:tmpl w:val="3CB107D9"/>
    <w:lvl w:ilvl="0">
      <w:start w:val="4"/>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12671B"/>
    <w:multiLevelType w:val="multilevel"/>
    <w:tmpl w:val="5812671B"/>
    <w:lvl w:ilvl="0">
      <w:start w:val="1"/>
      <w:numFmt w:val="decimalEnclosedParen"/>
      <w:lvlText w:val="%1"/>
      <w:lvlJc w:val="left"/>
      <w:pPr>
        <w:ind w:left="1000" w:hanging="360"/>
      </w:pPr>
      <w:rPr>
        <w:rFonts w:ascii="宋体"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305"/>
    <w:rsid w:val="00063D83"/>
    <w:rsid w:val="0006740A"/>
    <w:rsid w:val="000D69D4"/>
    <w:rsid w:val="002A5B5F"/>
    <w:rsid w:val="002D5CB9"/>
    <w:rsid w:val="003110C4"/>
    <w:rsid w:val="00366305"/>
    <w:rsid w:val="004E6DA9"/>
    <w:rsid w:val="00510124"/>
    <w:rsid w:val="005663D0"/>
    <w:rsid w:val="00786725"/>
    <w:rsid w:val="00810BBD"/>
    <w:rsid w:val="008334A3"/>
    <w:rsid w:val="008D5222"/>
    <w:rsid w:val="0092539A"/>
    <w:rsid w:val="009A7F09"/>
    <w:rsid w:val="00AF2E48"/>
    <w:rsid w:val="00B22EA8"/>
    <w:rsid w:val="00B44AA8"/>
    <w:rsid w:val="00C3595D"/>
    <w:rsid w:val="00C97EB6"/>
    <w:rsid w:val="00CD2312"/>
    <w:rsid w:val="00D75C39"/>
    <w:rsid w:val="00E10508"/>
    <w:rsid w:val="00E2610E"/>
    <w:rsid w:val="00EA6DC3"/>
    <w:rsid w:val="00F57588"/>
    <w:rsid w:val="02F046CF"/>
    <w:rsid w:val="0C92472B"/>
    <w:rsid w:val="0D0B0414"/>
    <w:rsid w:val="10B539A8"/>
    <w:rsid w:val="16864AE5"/>
    <w:rsid w:val="18CE371C"/>
    <w:rsid w:val="1AAE0BA6"/>
    <w:rsid w:val="31F3746A"/>
    <w:rsid w:val="345E2F3C"/>
    <w:rsid w:val="356A29D9"/>
    <w:rsid w:val="39906876"/>
    <w:rsid w:val="4A0B4F0A"/>
    <w:rsid w:val="4B4F255D"/>
    <w:rsid w:val="541022C5"/>
    <w:rsid w:val="55EE4F88"/>
    <w:rsid w:val="57D86979"/>
    <w:rsid w:val="5E2F6F68"/>
    <w:rsid w:val="5E342990"/>
    <w:rsid w:val="64E77EA3"/>
    <w:rsid w:val="6A4C25CD"/>
    <w:rsid w:val="736F70F5"/>
    <w:rsid w:val="788B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C39"/>
    <w:pPr>
      <w:widowControl w:val="0"/>
      <w:jc w:val="both"/>
    </w:pPr>
    <w:rPr>
      <w:kern w:val="2"/>
      <w:sz w:val="21"/>
      <w:szCs w:val="24"/>
    </w:rPr>
  </w:style>
  <w:style w:type="paragraph" w:styleId="1">
    <w:name w:val="heading 1"/>
    <w:basedOn w:val="a"/>
    <w:next w:val="a"/>
    <w:qFormat/>
    <w:rsid w:val="00D75C39"/>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75C39"/>
    <w:pPr>
      <w:snapToGrid w:val="0"/>
      <w:spacing w:line="280" w:lineRule="exact"/>
      <w:jc w:val="center"/>
    </w:pPr>
    <w:rPr>
      <w:rFonts w:eastAsia="仿宋_GB2312"/>
      <w:kern w:val="0"/>
      <w:sz w:val="18"/>
    </w:rPr>
  </w:style>
  <w:style w:type="paragraph" w:styleId="a4">
    <w:name w:val="Balloon Text"/>
    <w:basedOn w:val="a"/>
    <w:link w:val="Char"/>
    <w:rsid w:val="00D75C39"/>
    <w:rPr>
      <w:sz w:val="18"/>
      <w:szCs w:val="18"/>
    </w:rPr>
  </w:style>
  <w:style w:type="paragraph" w:styleId="a5">
    <w:name w:val="footer"/>
    <w:basedOn w:val="a"/>
    <w:link w:val="Char0"/>
    <w:rsid w:val="00D75C39"/>
    <w:pPr>
      <w:tabs>
        <w:tab w:val="center" w:pos="4153"/>
        <w:tab w:val="right" w:pos="8306"/>
      </w:tabs>
      <w:snapToGrid w:val="0"/>
      <w:jc w:val="left"/>
    </w:pPr>
    <w:rPr>
      <w:sz w:val="18"/>
      <w:szCs w:val="18"/>
    </w:rPr>
  </w:style>
  <w:style w:type="paragraph" w:styleId="a6">
    <w:name w:val="header"/>
    <w:basedOn w:val="a"/>
    <w:link w:val="Char1"/>
    <w:rsid w:val="00D75C39"/>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D75C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sid w:val="00D75C39"/>
    <w:rPr>
      <w:kern w:val="2"/>
      <w:sz w:val="18"/>
      <w:szCs w:val="18"/>
    </w:rPr>
  </w:style>
  <w:style w:type="character" w:customStyle="1" w:styleId="Char0">
    <w:name w:val="页脚 Char"/>
    <w:basedOn w:val="a0"/>
    <w:link w:val="a5"/>
    <w:rsid w:val="00D75C39"/>
    <w:rPr>
      <w:kern w:val="2"/>
      <w:sz w:val="18"/>
      <w:szCs w:val="18"/>
    </w:rPr>
  </w:style>
  <w:style w:type="paragraph" w:styleId="a8">
    <w:name w:val="List Paragraph"/>
    <w:basedOn w:val="a"/>
    <w:qFormat/>
    <w:rsid w:val="00D75C39"/>
    <w:pPr>
      <w:widowControl/>
      <w:spacing w:line="252" w:lineRule="auto"/>
      <w:ind w:left="720"/>
      <w:contextualSpacing/>
      <w:jc w:val="left"/>
    </w:pPr>
    <w:rPr>
      <w:rFonts w:ascii="Cambria" w:hAnsi="Cambria"/>
      <w:kern w:val="0"/>
      <w:sz w:val="22"/>
      <w:szCs w:val="22"/>
      <w:lang w:eastAsia="en-US" w:bidi="en-US"/>
    </w:rPr>
  </w:style>
  <w:style w:type="character" w:customStyle="1" w:styleId="Char">
    <w:name w:val="批注框文本 Char"/>
    <w:basedOn w:val="a0"/>
    <w:link w:val="a4"/>
    <w:rsid w:val="00D75C39"/>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6536</Characters>
  <Application>Microsoft Office Word</Application>
  <DocSecurity>0</DocSecurity>
  <Lines>54</Lines>
  <Paragraphs>15</Paragraphs>
  <ScaleCrop>false</ScaleCrop>
  <Company>Microsoft</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liuhongwei</dc:creator>
  <cp:lastModifiedBy>微软用户</cp:lastModifiedBy>
  <cp:revision>13</cp:revision>
  <dcterms:created xsi:type="dcterms:W3CDTF">2020-11-04T02:38:00Z</dcterms:created>
  <dcterms:modified xsi:type="dcterms:W3CDTF">2025-01-08T01:17:00Z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C1FFACC9535B4C6DB26151BBDD03177F</vt:lpwstr>
  </property>
</Properties>
</file>