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双阳区关于</w:t>
      </w:r>
      <w:r>
        <w:rPr>
          <w:rFonts w:hint="eastAsia" w:ascii="方正小标宋简体" w:hAnsi="仿宋" w:eastAsia="方正小标宋简体"/>
          <w:sz w:val="44"/>
          <w:szCs w:val="44"/>
          <w:lang w:eastAsia="zh-CN"/>
        </w:rPr>
        <w:t>第一轮省级</w:t>
      </w:r>
      <w:r>
        <w:rPr>
          <w:rFonts w:hint="eastAsia" w:ascii="方正小标宋简体" w:hAnsi="仿宋" w:eastAsia="方正小标宋简体"/>
          <w:sz w:val="44"/>
          <w:szCs w:val="44"/>
        </w:rPr>
        <w:t>生态环境保护督察</w:t>
      </w:r>
      <w:r>
        <w:rPr>
          <w:rFonts w:hint="eastAsia" w:ascii="方正小标宋简体" w:hAnsi="仿宋" w:eastAsia="方正小标宋简体"/>
          <w:sz w:val="44"/>
          <w:szCs w:val="44"/>
          <w:lang w:eastAsia="zh-CN"/>
        </w:rPr>
        <w:t>“回头看”</w:t>
      </w:r>
      <w:r>
        <w:rPr>
          <w:rFonts w:hint="eastAsia" w:ascii="方正小标宋简体" w:hAnsi="仿宋" w:eastAsia="方正小标宋简体"/>
          <w:sz w:val="44"/>
          <w:szCs w:val="44"/>
        </w:rPr>
        <w:t>信访案件</w:t>
      </w:r>
    </w:p>
    <w:p>
      <w:pPr>
        <w:spacing w:line="54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完成情况公示表</w:t>
      </w:r>
    </w:p>
    <w:tbl>
      <w:tblPr>
        <w:tblStyle w:val="12"/>
        <w:tblpPr w:leftFromText="180" w:rightFromText="180" w:vertAnchor="text" w:horzAnchor="page" w:tblpX="1252" w:tblpY="601"/>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50"/>
        <w:gridCol w:w="4975"/>
        <w:gridCol w:w="1988"/>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20" w:type="dxa"/>
            <w:vAlign w:val="center"/>
          </w:tcPr>
          <w:p>
            <w:pPr>
              <w:spacing w:line="300" w:lineRule="exact"/>
              <w:jc w:val="center"/>
              <w:rPr>
                <w:rFonts w:ascii="仿宋" w:hAnsi="仿宋" w:eastAsia="仿宋"/>
                <w:sz w:val="24"/>
              </w:rPr>
            </w:pPr>
            <w:r>
              <w:rPr>
                <w:rFonts w:hint="eastAsia" w:ascii="仿宋" w:hAnsi="仿宋" w:eastAsia="仿宋"/>
                <w:sz w:val="24"/>
              </w:rPr>
              <w:t>案件</w:t>
            </w:r>
          </w:p>
          <w:p>
            <w:pPr>
              <w:spacing w:line="300" w:lineRule="exact"/>
              <w:jc w:val="center"/>
              <w:rPr>
                <w:rFonts w:ascii="仿宋" w:hAnsi="仿宋" w:eastAsia="仿宋"/>
                <w:sz w:val="24"/>
              </w:rPr>
            </w:pPr>
            <w:r>
              <w:rPr>
                <w:rFonts w:hint="eastAsia" w:ascii="仿宋" w:hAnsi="仿宋" w:eastAsia="仿宋"/>
                <w:sz w:val="24"/>
              </w:rPr>
              <w:t>编号</w:t>
            </w:r>
          </w:p>
        </w:tc>
        <w:tc>
          <w:tcPr>
            <w:tcW w:w="2150" w:type="dxa"/>
            <w:vAlign w:val="center"/>
          </w:tcPr>
          <w:p>
            <w:pPr>
              <w:spacing w:line="540" w:lineRule="exact"/>
              <w:jc w:val="center"/>
              <w:rPr>
                <w:rFonts w:ascii="仿宋" w:hAnsi="仿宋" w:eastAsia="仿宋"/>
                <w:sz w:val="24"/>
              </w:rPr>
            </w:pPr>
            <w:r>
              <w:rPr>
                <w:rFonts w:hint="eastAsia" w:ascii="仿宋" w:hAnsi="仿宋" w:eastAsia="仿宋"/>
                <w:sz w:val="24"/>
              </w:rPr>
              <w:t>交办问题</w:t>
            </w:r>
          </w:p>
        </w:tc>
        <w:tc>
          <w:tcPr>
            <w:tcW w:w="4975" w:type="dxa"/>
            <w:vAlign w:val="center"/>
          </w:tcPr>
          <w:p>
            <w:pPr>
              <w:spacing w:line="540" w:lineRule="exact"/>
              <w:jc w:val="center"/>
              <w:rPr>
                <w:rFonts w:ascii="仿宋" w:hAnsi="仿宋" w:eastAsia="仿宋"/>
                <w:sz w:val="24"/>
              </w:rPr>
            </w:pPr>
            <w:r>
              <w:rPr>
                <w:rFonts w:hint="eastAsia" w:ascii="仿宋" w:hAnsi="仿宋" w:eastAsia="仿宋"/>
                <w:sz w:val="24"/>
              </w:rPr>
              <w:t>调查处理情况</w:t>
            </w:r>
          </w:p>
        </w:tc>
        <w:tc>
          <w:tcPr>
            <w:tcW w:w="1988" w:type="dxa"/>
            <w:vAlign w:val="center"/>
          </w:tcPr>
          <w:p>
            <w:pPr>
              <w:spacing w:line="540" w:lineRule="exact"/>
              <w:jc w:val="center"/>
              <w:rPr>
                <w:rFonts w:ascii="仿宋" w:hAnsi="仿宋" w:eastAsia="仿宋"/>
                <w:sz w:val="24"/>
              </w:rPr>
            </w:pPr>
            <w:r>
              <w:rPr>
                <w:rFonts w:hint="eastAsia" w:ascii="仿宋" w:hAnsi="仿宋" w:eastAsia="仿宋"/>
                <w:sz w:val="24"/>
              </w:rPr>
              <w:t>办结时限</w:t>
            </w:r>
          </w:p>
        </w:tc>
        <w:tc>
          <w:tcPr>
            <w:tcW w:w="4634" w:type="dxa"/>
            <w:vAlign w:val="center"/>
          </w:tcPr>
          <w:p>
            <w:pPr>
              <w:spacing w:line="540" w:lineRule="exact"/>
              <w:jc w:val="center"/>
              <w:rPr>
                <w:rFonts w:ascii="仿宋" w:hAnsi="仿宋" w:eastAsia="仿宋"/>
                <w:sz w:val="24"/>
              </w:rPr>
            </w:pPr>
            <w:r>
              <w:rPr>
                <w:rFonts w:hint="eastAsia" w:ascii="仿宋" w:hAnsi="仿宋" w:eastAsia="仿宋"/>
                <w:sz w:val="24"/>
              </w:rPr>
              <w:t>整改完成情况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8" w:hRule="atLeast"/>
        </w:trPr>
        <w:tc>
          <w:tcPr>
            <w:tcW w:w="820" w:type="dxa"/>
            <w:vAlign w:val="center"/>
          </w:tcPr>
          <w:p>
            <w:pPr>
              <w:spacing w:line="5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0444</w:t>
            </w:r>
          </w:p>
        </w:tc>
        <w:tc>
          <w:tcPr>
            <w:tcW w:w="215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highlight w:val="none"/>
                <w:lang w:val="en-US" w:eastAsia="zh-CN"/>
              </w:rPr>
              <w:t>太平镇桦木村、小河子村、太平村及鹿乡镇多家石场无林业、国土开采手续，非法毁林开采，载石车超载破损乡道；太平镇将军村北山林地无手续毁林建坟、祠堂等；将军村将军泉无手续建餐饮，破坏水源地；太平镇肚带河村肚带河水库北侧无手续建民宿、寺庙、鹿场。</w:t>
            </w:r>
          </w:p>
        </w:tc>
        <w:tc>
          <w:tcPr>
            <w:tcW w:w="4975" w:type="dxa"/>
            <w:vAlign w:val="center"/>
          </w:tcPr>
          <w:p>
            <w:pPr>
              <w:ind w:firstLine="420" w:firstLineChars="200"/>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经调查，群众反映问题部分属实</w:t>
            </w:r>
          </w:p>
          <w:p>
            <w:pPr>
              <w:ind w:firstLine="420" w:firstLineChars="200"/>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第一个问题：2020年6月25-27日，双阳区自然资源局、双阳区太平镇、双阳区鹿乡镇工作人员现场调查核实：太平镇桦木村、小河子村、太平村及鹿乡镇共21家采石场，这些采石场大多数由七八十年代发展农村经济的老石坑衍生形成，由于手续不全等原因均不同程度存在非法占用林地问题。2017年中央环保督察以来，双阳区持续开展了非煤矿山综合整治行动，制定了方案，对未办理林地审批手续的企业停供了火工爆破用品，对证照齐全、符合生产条件的企业进行了验收，全力推进非煤矿山恢复治理工作。根据整改要求，目前21家采石场对具备恢复条件的林地恢复造林面积11.87公顷，现长春市双阳区宏利矿业有限公司、长春天成玉典矿业有限公司2家完成整改。双阳区交通运输局6月25日现场检查时有5台车辆运输物料通行，未发现超载运输违法经营行为，但部分乡道存在破损情况，路况较差。</w:t>
            </w:r>
          </w:p>
          <w:p>
            <w:pPr>
              <w:ind w:firstLine="420" w:firstLineChars="200"/>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 xml:space="preserve"> 第二个问题：2020年6月25日，双阳区自然资源局、双阳区民政局、双阳区太平镇工作人员现场调查核实：太平镇将军村北山林地是双阳区太平镇将军村一社望景山集体林地，承包人为周某某。2017年4月，未经过林业部门审批，周某某擅自侵占集体林地786平方米私自建设一座坟茔、祠堂。</w:t>
            </w:r>
          </w:p>
          <w:p>
            <w:pPr>
              <w:ind w:firstLine="420" w:firstLineChars="200"/>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第三个问题：2020年6月26日双阳区太平镇政府、双阳区水利局、双阳区自然资源局、长春市市场监督管理局双阳分局、长春市生态环境局双阳分局工作人员现场调查核实：将军村将军泉餐饮是双阳区关东将军泉生态园，位于双阳区太平镇将军村3社，于2011年9月13日经履行村民自治程序承包它人，为个体餐饮企业，具有经营相关手续。该生态园占用地类为水田、村庄、坑塘水面、国有河流水面，无林地，无用地审批手续；该生态园不属于石头口门水库和双阳水库饮用水源地准保护区内禁止建设的项目。2020年5月11日进行了环境影响登记表网上备案，取得环保手续,并按照要求安装建设了油烟净化及废水防渗储存池等设施。由于未营业也未使用，现场未发现污染水源现象。</w:t>
            </w:r>
          </w:p>
          <w:p>
            <w:pPr>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highlight w:val="none"/>
                <w:lang w:val="en-US" w:eastAsia="zh-CN" w:bidi="ar-SA"/>
              </w:rPr>
              <w:t>第四个问题：2020年6月26日，双阳区太平镇、双阳区委统战部、双阳区畜牧业管理局、长春市市场监督管理局双阳分局工作人员现场调查核实：太平镇肚带河村肚带河水库位于肚带河村7社、8社之间，群众反映的民宿实为长春市双阳区神达农机专业合作社，占地面积2000平方米，其后侧是合作社经营的鹿场，占地面积7000平方米，目前正在办理设施农用地备案手续。群众反映的寺庙位于肚带河水库北山肚带河村集体林地内，占地面积200平方米，2018年4月建设，无相关手续，同年8月双阳区宗教局与双阳区太平镇对该建筑物进行封闭，对院内的香炉等物品进行封存，对室外的观音像进行了覆盖，不允许任何人进入，停止其所有活动。</w:t>
            </w:r>
          </w:p>
        </w:tc>
        <w:tc>
          <w:tcPr>
            <w:tcW w:w="1988" w:type="dxa"/>
            <w:vAlign w:val="center"/>
          </w:tcPr>
          <w:p>
            <w:pPr>
              <w:spacing w:line="54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2022年12月31日</w:t>
            </w:r>
          </w:p>
        </w:tc>
        <w:tc>
          <w:tcPr>
            <w:tcW w:w="46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该案件共涉及腾远矿业、兴泰钙业、聚鑫矿业、</w:t>
            </w:r>
            <w:r>
              <w:rPr>
                <w:rFonts w:hint="eastAsia" w:ascii="仿宋_GB2312" w:hAnsi="仿宋_GB2312" w:eastAsia="仿宋_GB2312" w:cs="仿宋_GB2312"/>
                <w:sz w:val="21"/>
                <w:szCs w:val="21"/>
                <w:highlight w:val="none"/>
                <w:lang w:val="en-US" w:eastAsia="zh-CN"/>
              </w:rPr>
              <w:t>石溪矿业、福地矿业、博隆矿业、亿达矿业、同祥矿业、森大矿业、运昌矿业、有峰矿业、衡亿矿业、力新矿业、康诚矿业、金采矿业、盛鹏矿业、宏利矿业、隆泰矿业、大</w:t>
            </w:r>
            <w:r>
              <w:rPr>
                <w:rFonts w:hint="eastAsia" w:ascii="仿宋_GB2312" w:hAnsi="仿宋_GB2312" w:eastAsia="仿宋_GB2312" w:cs="仿宋_GB2312"/>
                <w:sz w:val="21"/>
                <w:szCs w:val="21"/>
                <w:lang w:val="en-US" w:eastAsia="zh-CN"/>
              </w:rPr>
              <w:t>力纳米、石缘矿业、天成玉典矿业21家企业。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lang w:val="en-US" w:eastAsia="zh-CN"/>
              </w:rPr>
              <w:t>第一个问题：截止目前，</w:t>
            </w:r>
            <w:r>
              <w:rPr>
                <w:rFonts w:hint="eastAsia" w:ascii="仿宋_GB2312" w:hAnsi="仿宋_GB2312" w:eastAsia="仿宋_GB2312" w:cs="仿宋_GB2312"/>
                <w:sz w:val="21"/>
                <w:szCs w:val="21"/>
                <w:u w:val="none"/>
                <w:lang w:val="en-US" w:eastAsia="zh-CN"/>
              </w:rPr>
              <w:t>宏利矿业、石溪矿业、隆泰矿业3家企业《采矿许可证》未到期，手续齐全正常正产。</w:t>
            </w:r>
            <w:r>
              <w:rPr>
                <w:rFonts w:hint="eastAsia" w:ascii="仿宋_GB2312" w:hAnsi="仿宋_GB2312" w:eastAsia="仿宋_GB2312" w:cs="仿宋_GB2312"/>
                <w:color w:val="auto"/>
                <w:sz w:val="21"/>
                <w:szCs w:val="21"/>
                <w:lang w:val="en-US" w:eastAsia="zh-CN"/>
              </w:rPr>
              <w:t>腾远矿业、聚鑫矿业、福地矿业、亿达矿业、同祥矿业、衡亿矿业、康诚矿业、盛鹏矿业、大力纳米、天成玉典、兴泰钙业、石缘矿业、有峰矿业13家企业《采矿许可证》已到期关闭，其中：大力纳米涉及市中法法拍正处于诉讼期内</w:t>
            </w:r>
            <w:r>
              <w:rPr>
                <w:rFonts w:hint="eastAsia" w:ascii="仿宋_GB2312" w:hAnsi="仿宋_GB2312" w:eastAsia="仿宋_GB2312" w:cs="仿宋_GB2312"/>
                <w:kern w:val="2"/>
                <w:sz w:val="21"/>
                <w:szCs w:val="21"/>
                <w:lang w:val="en-US" w:eastAsia="zh-CN" w:bidi="ar-SA"/>
              </w:rPr>
              <w:t>暂时不能开展修复；兴泰钙业、石缘矿业、有峰矿业3家企业已</w:t>
            </w:r>
            <w:r>
              <w:rPr>
                <w:rFonts w:hint="eastAsia" w:ascii="仿宋_GB2312" w:hAnsi="仿宋_GB2312" w:eastAsia="仿宋_GB2312" w:cs="仿宋_GB2312"/>
                <w:color w:val="auto"/>
                <w:sz w:val="21"/>
                <w:szCs w:val="21"/>
                <w:lang w:val="en-US" w:eastAsia="zh-CN"/>
              </w:rPr>
              <w:t>列入我区新一轮矿山整合规划，目前正在履行相关审批手续，</w:t>
            </w:r>
            <w:r>
              <w:rPr>
                <w:rFonts w:hint="eastAsia" w:ascii="仿宋_GB2312" w:hAnsi="仿宋_GB2312" w:eastAsia="仿宋_GB2312" w:cs="仿宋_GB2312"/>
                <w:kern w:val="2"/>
                <w:sz w:val="21"/>
                <w:szCs w:val="21"/>
                <w:lang w:val="en-US" w:eastAsia="zh-CN" w:bidi="ar-SA"/>
              </w:rPr>
              <w:t>按照绿色矿山标准进行建设；</w:t>
            </w:r>
            <w:r>
              <w:rPr>
                <w:rFonts w:hint="eastAsia" w:ascii="仿宋_GB2312" w:hAnsi="仿宋_GB2312" w:eastAsia="仿宋_GB2312" w:cs="仿宋_GB2312"/>
                <w:color w:val="auto"/>
                <w:sz w:val="21"/>
                <w:szCs w:val="21"/>
                <w:lang w:val="en-US" w:eastAsia="zh-CN"/>
              </w:rPr>
              <w:t>剩余9家已开展全面恢复治理。</w:t>
            </w:r>
            <w:r>
              <w:rPr>
                <w:rFonts w:hint="eastAsia" w:ascii="仿宋_GB2312" w:hAnsi="仿宋_GB2312" w:eastAsia="仿宋_GB2312" w:cs="仿宋_GB2312"/>
                <w:color w:val="auto"/>
                <w:kern w:val="2"/>
                <w:sz w:val="21"/>
                <w:szCs w:val="21"/>
                <w:lang w:val="en-US" w:eastAsia="zh-CN" w:bidi="ar-SA"/>
              </w:rPr>
              <w:t>金采矿业虽《采矿许可证》未到期，但企业已提前申请闭坑并将厂房设备拆除，启动全面恢复治理。运昌矿业、力新矿业2家企业《采矿许可证》未到期，但已列入我区新一轮矿山整合规划，目前正在履行相关审批手续建设规模化绿色矿山。博隆矿业、森大矿业2家企业《采矿许可证》未到期但无林地审批手续，</w:t>
            </w:r>
            <w:r>
              <w:rPr>
                <w:rFonts w:hint="eastAsia" w:eastAsia="仿宋_GB2312"/>
                <w:sz w:val="21"/>
                <w:szCs w:val="21"/>
                <w:u w:val="none"/>
                <w:lang w:val="en-US" w:eastAsia="zh-CN"/>
              </w:rPr>
              <w:t>按照《长春市双阳区非煤矿山专项整治行动实施方案》要求，已全部</w:t>
            </w:r>
            <w:r>
              <w:rPr>
                <w:rFonts w:hint="eastAsia" w:ascii="仿宋_GB2312" w:hAnsi="仿宋_GB2312" w:eastAsia="仿宋_GB2312" w:cs="仿宋_GB2312"/>
                <w:color w:val="auto"/>
                <w:kern w:val="2"/>
                <w:sz w:val="21"/>
                <w:szCs w:val="21"/>
                <w:highlight w:val="none"/>
                <w:lang w:val="en-US" w:eastAsia="zh-CN" w:bidi="ar-SA"/>
              </w:rPr>
              <w:t>停产停业整顿，并</w:t>
            </w:r>
            <w:r>
              <w:rPr>
                <w:rFonts w:hint="eastAsia" w:ascii="仿宋_GB2312" w:hAnsi="仿宋_GB2312" w:eastAsia="仿宋_GB2312" w:cs="仿宋_GB2312"/>
                <w:color w:val="auto"/>
                <w:kern w:val="2"/>
                <w:sz w:val="21"/>
                <w:szCs w:val="21"/>
                <w:lang w:val="en-US" w:eastAsia="zh-CN" w:bidi="ar-SA"/>
              </w:rPr>
              <w:t>对具备恢复条件的地块进行了林地植被恢复，</w:t>
            </w:r>
            <w:r>
              <w:rPr>
                <w:rFonts w:hint="eastAsia" w:ascii="仿宋_GB2312" w:hAnsi="仿宋_GB2312" w:eastAsia="仿宋_GB2312" w:cs="仿宋_GB2312"/>
                <w:kern w:val="2"/>
                <w:sz w:val="21"/>
                <w:szCs w:val="21"/>
                <w:highlight w:val="none"/>
                <w:lang w:val="en-US" w:eastAsia="zh-CN" w:bidi="ar-SA"/>
              </w:rPr>
              <w:t>对暂不具备恢复条件的地块完成</w:t>
            </w:r>
            <w:r>
              <w:rPr>
                <w:rFonts w:hint="eastAsia" w:ascii="仿宋_GB2312" w:hAnsi="仿宋_GB2312" w:eastAsia="仿宋_GB2312" w:cs="仿宋_GB2312"/>
                <w:color w:val="auto"/>
                <w:kern w:val="2"/>
                <w:sz w:val="21"/>
                <w:szCs w:val="21"/>
                <w:highlight w:val="none"/>
                <w:lang w:val="en-US" w:eastAsia="zh-CN" w:bidi="ar-SA"/>
              </w:rPr>
              <w:t>《林地植被恢复方案》的制定工作并通过专家论证。</w:t>
            </w:r>
            <w:r>
              <w:rPr>
                <w:rFonts w:hint="eastAsia" w:ascii="仿宋_GB2312" w:hAnsi="仿宋_GB2312" w:eastAsia="仿宋_GB2312" w:cs="仿宋_GB2312"/>
                <w:sz w:val="21"/>
                <w:szCs w:val="21"/>
                <w:lang w:val="en-US" w:eastAsia="zh-CN"/>
              </w:rPr>
              <w:t>太平镇已完成对石场途径破损道路的修整（办结）</w:t>
            </w:r>
            <w:r>
              <w:rPr>
                <w:rFonts w:hint="eastAsia" w:ascii="仿宋_GB2312" w:hAnsi="仿宋_GB2312" w:eastAsia="仿宋_GB2312" w:cs="仿宋_GB2312"/>
                <w:sz w:val="21"/>
                <w:szCs w:val="21"/>
                <w:highlight w:val="none"/>
                <w:lang w:val="en-US" w:eastAsia="zh-CN"/>
              </w:rPr>
              <w:t>,鹿乡镇目前已完成对所有石场附近破损道路的重新修整，保证周边百姓出行安全。同时符合环保要求，已从根本上切实解决问题。</w:t>
            </w:r>
            <w:r>
              <w:rPr>
                <w:rFonts w:hint="eastAsia" w:ascii="仿宋_GB2312" w:hAnsi="仿宋_GB2312" w:eastAsia="仿宋_GB2312" w:cs="仿宋_GB2312"/>
                <w:sz w:val="21"/>
                <w:szCs w:val="21"/>
                <w:lang w:val="en-US" w:eastAsia="zh-CN"/>
              </w:rPr>
              <w:t>区</w:t>
            </w:r>
            <w:r>
              <w:rPr>
                <w:rFonts w:hint="eastAsia" w:ascii="仿宋_GB2312" w:hAnsi="仿宋_GB2312" w:eastAsia="仿宋_GB2312" w:cs="仿宋_GB2312"/>
                <w:color w:val="auto"/>
                <w:kern w:val="2"/>
                <w:sz w:val="21"/>
                <w:szCs w:val="21"/>
                <w:highlight w:val="none"/>
                <w:lang w:val="en-US" w:eastAsia="zh-CN" w:bidi="ar-SA"/>
              </w:rPr>
              <w:t>交通运输局责成交通运输综合行政执法大队综合执法三、四中队针对案件中涉及的太平镇桦木村、小河子村、太平村及鹿乡镇多家石场以及周边路况进行了现场调查，调查中除个别乡村道路路况较差外暂未发现货运车辆存在超限</w:t>
            </w:r>
            <w:bookmarkStart w:id="0" w:name="_GoBack"/>
            <w:bookmarkEnd w:id="0"/>
            <w:r>
              <w:rPr>
                <w:rFonts w:hint="eastAsia" w:ascii="仿宋_GB2312" w:hAnsi="仿宋_GB2312" w:eastAsia="仿宋_GB2312" w:cs="仿宋_GB2312"/>
                <w:color w:val="auto"/>
                <w:kern w:val="2"/>
                <w:sz w:val="21"/>
                <w:szCs w:val="21"/>
                <w:highlight w:val="none"/>
                <w:lang w:val="en-US" w:eastAsia="zh-CN" w:bidi="ar-SA"/>
              </w:rPr>
              <w:t>超载行为。交通运输局要求综合执法三、四中队对案件中涉及的区域加大执法频次，针对货运车辆不苫盖苫布行为加大执法力度。另配合区治超办、交警大队对货运车辆超限超载行为严厉打击。</w:t>
            </w:r>
          </w:p>
          <w:p>
            <w:pPr>
              <w:ind w:firstLine="420" w:firstLineChars="200"/>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lang w:val="en-US" w:eastAsia="zh-CN"/>
              </w:rPr>
              <w:t>第二个问题：</w:t>
            </w:r>
            <w:r>
              <w:rPr>
                <w:rFonts w:hint="eastAsia" w:ascii="仿宋_GB2312" w:hAnsi="仿宋_GB2312" w:eastAsia="仿宋_GB2312" w:cs="仿宋_GB2312"/>
                <w:sz w:val="21"/>
                <w:szCs w:val="21"/>
                <w:highlight w:val="none"/>
                <w:lang w:val="en-US" w:eastAsia="zh-CN"/>
              </w:rPr>
              <w:t>长春市双阳区林业局已于2017年7月12日对周玉龙未经当地林业主管部门审批在太平镇将军村1社望景山集体林地内，用钩机推占林地，用于修建祠堂，毁坏地表，非法改变林地用途的违法行为进行了林业行政处罚，处罚决定书编号：长双（太）林罚决字</w:t>
            </w:r>
            <w:r>
              <w:rPr>
                <w:rFonts w:hint="eastAsia" w:ascii="仿宋_GB2312" w:hAnsi="仿宋_GB2312" w:eastAsia="仿宋_GB2312" w:cs="仿宋_GB2312"/>
                <w:color w:val="auto"/>
                <w:sz w:val="21"/>
                <w:szCs w:val="21"/>
                <w:highlight w:val="none"/>
                <w:lang w:val="en-US" w:eastAsia="zh-CN"/>
              </w:rPr>
              <w:t>〔2017〕7号，非法改变林地用途面积786平方米。目前，祠堂已拆除并对破坏的集体林地恢复原状。</w:t>
            </w:r>
          </w:p>
          <w:p>
            <w:pPr>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z w:val="21"/>
                <w:szCs w:val="21"/>
                <w:lang w:val="en-US" w:eastAsia="zh-CN"/>
              </w:rPr>
              <w:t>第三个问题：</w:t>
            </w:r>
            <w:r>
              <w:rPr>
                <w:rFonts w:hint="eastAsia" w:ascii="仿宋_GB2312" w:hAnsi="仿宋_GB2312" w:eastAsia="仿宋_GB2312" w:cs="仿宋_GB2312"/>
                <w:color w:val="auto"/>
                <w:sz w:val="21"/>
                <w:szCs w:val="21"/>
                <w:lang w:val="en-US" w:eastAsia="zh-CN"/>
              </w:rPr>
              <w:t>双阳区自然资源局于2020年7月8日对当事人裴立春未经依法审批占用太平镇将军村三社集体土地建双阳区关东将军泉生态园设施违法行为进行行政处罚，处罚决定书编号：长国土资双（监）罚〔2018〕22号，违法用地总面积8248平方米。目前，将军泉生态园正在办理村企联营联建手续。</w:t>
            </w:r>
          </w:p>
          <w:p>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第四个问题：</w:t>
            </w:r>
            <w:r>
              <w:rPr>
                <w:rFonts w:hint="eastAsia" w:ascii="仿宋_GB2312" w:hAnsi="仿宋_GB2312" w:eastAsia="仿宋_GB2312" w:cs="仿宋_GB2312"/>
                <w:sz w:val="21"/>
                <w:szCs w:val="21"/>
                <w:highlight w:val="none"/>
                <w:lang w:val="en-US" w:eastAsia="zh-CN"/>
              </w:rPr>
              <w:t>长春市双阳区神达农机专业合作社二期鹿舍扩建项目已于2023年4月13日办理设施农业用地备案手续。肚带河村集体林地内修建的城隍庙已拆除完毕，并对破坏的集体林地进行了恢复造林。</w:t>
            </w:r>
          </w:p>
        </w:tc>
      </w:tr>
    </w:tbl>
    <w:p/>
    <w:sectPr>
      <w:pgSz w:w="16838" w:h="11906" w:orient="landscape"/>
      <w:pgMar w:top="1531" w:right="1701" w:bottom="1531" w:left="1418"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NDFjNjFmYjhiZmM2ZDZiZDY0MTVhMDIxZjNlOTQifQ=="/>
  </w:docVars>
  <w:rsids>
    <w:rsidRoot w:val="008E7CC0"/>
    <w:rsid w:val="0002026F"/>
    <w:rsid w:val="007E6DD0"/>
    <w:rsid w:val="008E7CC0"/>
    <w:rsid w:val="00973EE0"/>
    <w:rsid w:val="00B64BF3"/>
    <w:rsid w:val="00BF3F41"/>
    <w:rsid w:val="00F50DB3"/>
    <w:rsid w:val="02C8678C"/>
    <w:rsid w:val="057A0E9D"/>
    <w:rsid w:val="0ADC0F7C"/>
    <w:rsid w:val="0C074B9B"/>
    <w:rsid w:val="0DDB32E6"/>
    <w:rsid w:val="0FB27BD7"/>
    <w:rsid w:val="10307238"/>
    <w:rsid w:val="106E4B7E"/>
    <w:rsid w:val="11885826"/>
    <w:rsid w:val="171D0D4F"/>
    <w:rsid w:val="1B222279"/>
    <w:rsid w:val="1DAD1E0F"/>
    <w:rsid w:val="1F335006"/>
    <w:rsid w:val="233137A5"/>
    <w:rsid w:val="23E92C51"/>
    <w:rsid w:val="2550347D"/>
    <w:rsid w:val="259B084C"/>
    <w:rsid w:val="268C2457"/>
    <w:rsid w:val="2BD65D1A"/>
    <w:rsid w:val="2CF118A6"/>
    <w:rsid w:val="2F115981"/>
    <w:rsid w:val="2F7441D1"/>
    <w:rsid w:val="31925430"/>
    <w:rsid w:val="34401713"/>
    <w:rsid w:val="37F175DF"/>
    <w:rsid w:val="38AF1757"/>
    <w:rsid w:val="3E30325B"/>
    <w:rsid w:val="3F480357"/>
    <w:rsid w:val="418D61B9"/>
    <w:rsid w:val="42C43A92"/>
    <w:rsid w:val="42EB5C6D"/>
    <w:rsid w:val="439E6DFE"/>
    <w:rsid w:val="45775EEC"/>
    <w:rsid w:val="491B1187"/>
    <w:rsid w:val="4B975060"/>
    <w:rsid w:val="4F117F6D"/>
    <w:rsid w:val="547B7D1D"/>
    <w:rsid w:val="56E90AA3"/>
    <w:rsid w:val="5B20031B"/>
    <w:rsid w:val="5B2560A5"/>
    <w:rsid w:val="5B344BFF"/>
    <w:rsid w:val="660A013A"/>
    <w:rsid w:val="67D12A46"/>
    <w:rsid w:val="68FA603D"/>
    <w:rsid w:val="6A2B17DE"/>
    <w:rsid w:val="6AC97D3F"/>
    <w:rsid w:val="6F0355FC"/>
    <w:rsid w:val="70D60065"/>
    <w:rsid w:val="714346AA"/>
    <w:rsid w:val="71B5360B"/>
    <w:rsid w:val="71BF5CA5"/>
    <w:rsid w:val="784319E7"/>
    <w:rsid w:val="7DE9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0"/>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19"/>
    <w:qFormat/>
    <w:uiPriority w:val="0"/>
    <w:pPr>
      <w:ind w:firstLine="420" w:firstLineChars="200"/>
    </w:pPr>
    <w:rPr>
      <w:rFonts w:eastAsia="仿宋"/>
      <w:sz w:val="32"/>
    </w:rPr>
  </w:style>
  <w:style w:type="paragraph" w:styleId="7">
    <w:name w:val="toc 2"/>
    <w:basedOn w:val="1"/>
    <w:next w:val="1"/>
    <w:qFormat/>
    <w:uiPriority w:val="0"/>
    <w:pPr>
      <w:ind w:left="420" w:leftChars="200"/>
    </w:pPr>
  </w:style>
  <w:style w:type="paragraph" w:styleId="8">
    <w:name w:val="Body Text Indent"/>
    <w:basedOn w:val="1"/>
    <w:next w:val="6"/>
    <w:unhideWhenUsed/>
    <w:qFormat/>
    <w:uiPriority w:val="99"/>
    <w:pPr>
      <w:ind w:firstLine="560" w:firstLineChars="200"/>
    </w:pPr>
    <w:rPr>
      <w:rFonts w:ascii="Times New Roman" w:hAnsi="Times New Roman"/>
      <w:sz w:val="2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8"/>
    <w:next w:val="1"/>
    <w:unhideWhenUsed/>
    <w:qFormat/>
    <w:uiPriority w:val="99"/>
    <w:pPr>
      <w:ind w:firstLine="420"/>
    </w:pPr>
  </w:style>
  <w:style w:type="paragraph" w:styleId="14">
    <w:name w:val="List Paragraph"/>
    <w:basedOn w:val="1"/>
    <w:qFormat/>
    <w:uiPriority w:val="34"/>
    <w:pPr>
      <w:ind w:firstLine="420" w:firstLineChars="200"/>
    </w:pPr>
  </w:style>
  <w:style w:type="character" w:customStyle="1" w:styleId="15">
    <w:name w:val="页眉 Char"/>
    <w:basedOn w:val="13"/>
    <w:link w:val="10"/>
    <w:qFormat/>
    <w:uiPriority w:val="0"/>
    <w:rPr>
      <w:rFonts w:ascii="Times New Roman" w:hAnsi="Times New Roman"/>
      <w:kern w:val="2"/>
      <w:sz w:val="18"/>
      <w:szCs w:val="18"/>
    </w:rPr>
  </w:style>
  <w:style w:type="character" w:customStyle="1" w:styleId="16">
    <w:name w:val="页脚 Char"/>
    <w:basedOn w:val="13"/>
    <w:link w:val="9"/>
    <w:qFormat/>
    <w:uiPriority w:val="0"/>
    <w:rPr>
      <w:rFonts w:ascii="Times New Roman" w:hAnsi="Times New Roman"/>
      <w:kern w:val="2"/>
      <w:sz w:val="18"/>
      <w:szCs w:val="18"/>
    </w:rPr>
  </w:style>
  <w:style w:type="character" w:customStyle="1" w:styleId="17">
    <w:name w:val="标题 1 Char"/>
    <w:link w:val="2"/>
    <w:qFormat/>
    <w:uiPriority w:val="0"/>
    <w:rPr>
      <w:b/>
      <w:kern w:val="44"/>
      <w:sz w:val="44"/>
    </w:rPr>
  </w:style>
  <w:style w:type="character" w:customStyle="1" w:styleId="18">
    <w:name w:val="标题 2 Char"/>
    <w:link w:val="3"/>
    <w:qFormat/>
    <w:uiPriority w:val="0"/>
    <w:rPr>
      <w:rFonts w:ascii="Arial" w:hAnsi="Arial" w:eastAsia="黑体"/>
      <w:b/>
      <w:sz w:val="32"/>
    </w:rPr>
  </w:style>
  <w:style w:type="character" w:customStyle="1" w:styleId="19">
    <w:name w:val="正文缩进 Char"/>
    <w:link w:val="6"/>
    <w:qFormat/>
    <w:uiPriority w:val="0"/>
    <w:rPr>
      <w:rFonts w:eastAsia="仿宋"/>
      <w:sz w:val="32"/>
    </w:rPr>
  </w:style>
  <w:style w:type="character" w:customStyle="1" w:styleId="20">
    <w:name w:val="标题 4 Char"/>
    <w:link w:val="5"/>
    <w:qFormat/>
    <w:uiPriority w:val="0"/>
    <w:rPr>
      <w:rFonts w:ascii="Arial" w:hAnsi="Arial" w:eastAsia="黑体"/>
      <w:b/>
      <w:sz w:val="28"/>
    </w:rPr>
  </w:style>
  <w:style w:type="character" w:customStyle="1" w:styleId="21">
    <w:name w:val="标题 3 Char"/>
    <w:link w:val="4"/>
    <w:qFormat/>
    <w:uiPriority w:val="0"/>
    <w:rPr>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434</Words>
  <Characters>490</Characters>
  <Lines>13</Lines>
  <Paragraphs>3</Paragraphs>
  <TotalTime>23</TotalTime>
  <ScaleCrop>false</ScaleCrop>
  <LinksUpToDate>false</LinksUpToDate>
  <CharactersWithSpaces>494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2019-08-02T08:09:00Z</dcterms:created>
  <dc:creator>Comix</dc:creator>
  <cp:lastModifiedBy> ꧁༺ൢ潘达ൢ༻꧂ </cp:lastModifiedBy>
  <cp:lastPrinted>2023-05-30T02:45:00Z</cp:lastPrinted>
  <dcterms:modified xsi:type="dcterms:W3CDTF">2023-11-29T06:32:20Z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77D54FA2A6534B7BBE59307BAB6E0B90_13</vt:lpwstr>
  </property>
</Properties>
</file>