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双阳区关于</w:t>
      </w:r>
      <w:r>
        <w:rPr>
          <w:rFonts w:hint="eastAsia" w:ascii="方正小标宋简体" w:hAnsi="仿宋" w:eastAsia="方正小标宋简体"/>
          <w:sz w:val="44"/>
          <w:szCs w:val="44"/>
          <w:lang w:eastAsia="zh-CN"/>
        </w:rPr>
        <w:t>第一轮中央</w:t>
      </w:r>
      <w:r>
        <w:rPr>
          <w:rFonts w:hint="eastAsia" w:ascii="方正小标宋简体" w:hAnsi="仿宋" w:eastAsia="方正小标宋简体"/>
          <w:sz w:val="44"/>
          <w:szCs w:val="44"/>
        </w:rPr>
        <w:t>生态环境保护督察信访案件完成情况公示表</w:t>
      </w:r>
    </w:p>
    <w:tbl>
      <w:tblPr>
        <w:tblStyle w:val="12"/>
        <w:tblpPr w:leftFromText="180" w:rightFromText="180" w:vertAnchor="text" w:horzAnchor="page" w:tblpX="1252" w:tblpY="60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150"/>
        <w:gridCol w:w="4975"/>
        <w:gridCol w:w="1988"/>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20" w:type="dxa"/>
            <w:vAlign w:val="center"/>
          </w:tcPr>
          <w:p>
            <w:pPr>
              <w:spacing w:line="300" w:lineRule="exact"/>
              <w:jc w:val="center"/>
              <w:rPr>
                <w:rFonts w:ascii="仿宋" w:hAnsi="仿宋" w:eastAsia="仿宋"/>
                <w:sz w:val="24"/>
              </w:rPr>
            </w:pPr>
            <w:r>
              <w:rPr>
                <w:rFonts w:hint="eastAsia" w:ascii="仿宋" w:hAnsi="仿宋" w:eastAsia="仿宋"/>
                <w:sz w:val="24"/>
              </w:rPr>
              <w:t>案件</w:t>
            </w:r>
          </w:p>
          <w:p>
            <w:pPr>
              <w:spacing w:line="300" w:lineRule="exact"/>
              <w:jc w:val="center"/>
              <w:rPr>
                <w:rFonts w:ascii="仿宋" w:hAnsi="仿宋" w:eastAsia="仿宋"/>
                <w:sz w:val="24"/>
              </w:rPr>
            </w:pPr>
            <w:r>
              <w:rPr>
                <w:rFonts w:hint="eastAsia" w:ascii="仿宋" w:hAnsi="仿宋" w:eastAsia="仿宋"/>
                <w:sz w:val="24"/>
              </w:rPr>
              <w:t>编号</w:t>
            </w:r>
          </w:p>
        </w:tc>
        <w:tc>
          <w:tcPr>
            <w:tcW w:w="2150" w:type="dxa"/>
            <w:vAlign w:val="center"/>
          </w:tcPr>
          <w:p>
            <w:pPr>
              <w:spacing w:line="540" w:lineRule="exact"/>
              <w:jc w:val="center"/>
              <w:rPr>
                <w:rFonts w:ascii="仿宋" w:hAnsi="仿宋" w:eastAsia="仿宋"/>
                <w:sz w:val="24"/>
              </w:rPr>
            </w:pPr>
            <w:r>
              <w:rPr>
                <w:rFonts w:hint="eastAsia" w:ascii="仿宋" w:hAnsi="仿宋" w:eastAsia="仿宋"/>
                <w:sz w:val="24"/>
              </w:rPr>
              <w:t>交办问题</w:t>
            </w:r>
          </w:p>
        </w:tc>
        <w:tc>
          <w:tcPr>
            <w:tcW w:w="4975" w:type="dxa"/>
            <w:vAlign w:val="center"/>
          </w:tcPr>
          <w:p>
            <w:pPr>
              <w:spacing w:line="540" w:lineRule="exact"/>
              <w:jc w:val="center"/>
              <w:rPr>
                <w:rFonts w:ascii="仿宋" w:hAnsi="仿宋" w:eastAsia="仿宋"/>
                <w:sz w:val="24"/>
              </w:rPr>
            </w:pPr>
            <w:r>
              <w:rPr>
                <w:rFonts w:hint="eastAsia" w:ascii="仿宋" w:hAnsi="仿宋" w:eastAsia="仿宋"/>
                <w:sz w:val="24"/>
              </w:rPr>
              <w:t>调查处理情况</w:t>
            </w:r>
          </w:p>
        </w:tc>
        <w:tc>
          <w:tcPr>
            <w:tcW w:w="1988" w:type="dxa"/>
            <w:vAlign w:val="center"/>
          </w:tcPr>
          <w:p>
            <w:pPr>
              <w:spacing w:line="540" w:lineRule="exact"/>
              <w:jc w:val="center"/>
              <w:rPr>
                <w:rFonts w:ascii="仿宋" w:hAnsi="仿宋" w:eastAsia="仿宋"/>
                <w:sz w:val="24"/>
              </w:rPr>
            </w:pPr>
            <w:r>
              <w:rPr>
                <w:rFonts w:hint="eastAsia" w:ascii="仿宋" w:hAnsi="仿宋" w:eastAsia="仿宋"/>
                <w:sz w:val="24"/>
              </w:rPr>
              <w:t>办结时限</w:t>
            </w:r>
          </w:p>
        </w:tc>
        <w:tc>
          <w:tcPr>
            <w:tcW w:w="4634" w:type="dxa"/>
            <w:vAlign w:val="center"/>
          </w:tcPr>
          <w:p>
            <w:pPr>
              <w:spacing w:line="540" w:lineRule="exact"/>
              <w:jc w:val="center"/>
              <w:rPr>
                <w:rFonts w:ascii="仿宋" w:hAnsi="仿宋" w:eastAsia="仿宋"/>
                <w:sz w:val="24"/>
              </w:rPr>
            </w:pPr>
            <w:r>
              <w:rPr>
                <w:rFonts w:hint="eastAsia" w:ascii="仿宋" w:hAnsi="仿宋" w:eastAsia="仿宋"/>
                <w:sz w:val="24"/>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8" w:hRule="atLeast"/>
        </w:trPr>
        <w:tc>
          <w:tcPr>
            <w:tcW w:w="820" w:type="dxa"/>
            <w:vAlign w:val="center"/>
          </w:tcPr>
          <w:p>
            <w:pPr>
              <w:spacing w:line="5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2401</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lang w:val="en-US" w:eastAsia="zh-CN"/>
              </w:rPr>
              <w:t>双阳区鹿乡镇石溪、常家、方家等村屯有大小20余家采石场，特别是石溪北山双伊公路北侧矿山的采石场均无土地、林业等部门审批手续，侵占、破坏100多万平方米集体林地和国有林地，严重破坏生态环境；生产过程中无任何污染防治措施，粉尘污染严重。</w:t>
            </w:r>
          </w:p>
        </w:tc>
        <w:tc>
          <w:tcPr>
            <w:tcW w:w="4975" w:type="dxa"/>
            <w:vAlign w:val="center"/>
          </w:tcPr>
          <w:p>
            <w:pPr>
              <w:ind w:firstLine="420" w:firstLineChars="200"/>
              <w:jc w:val="lef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经核实，群众反映的情况属实。</w:t>
            </w:r>
          </w:p>
          <w:p>
            <w:pPr>
              <w:ind w:firstLine="420" w:firstLineChars="200"/>
              <w:jc w:val="lef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双阳区国土分局、林业局、环保分局等相关部门于8月27日至30日对该问题进行了认真调查。经查，双阳区鹿乡镇石溪、常家、方家等村屯有采石场16家，均有采矿许可证、工商营业执照和环保部门审批手续，除福地矿业、有峰矿业、盛鹏矿业3家安全生产许可证过期后处于停产状态外，其他13家安全生产许可证都在有效期内。16家采石中有14家占用林地，其中仅有1家办理了占用林地审批手续，其他13家不同程度违法占用集体林地、国有林地共42.1465公顷。其中，林业部门处罚面积8.6541公顷；正在立案调查处理中的面积2.1876公顷；历史上群众因建设需要自行采挖形成的面积28.4717公顷；目前已恢复林地属性的面积2.8331公顷。</w:t>
            </w:r>
          </w:p>
          <w:p>
            <w:pPr>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highlight w:val="none"/>
                <w:lang w:val="en-US" w:eastAsia="zh-CN" w:bidi="ar-SA"/>
              </w:rPr>
              <w:t>上述石场生产时均安装并使用了布袋除尘器和水雾喷淋系统，并且对石场的堆场进行了苫盖。目前，经过双阳区政府对非煤矿山进行专项整治，上述石场均已暂停生产，现粉尘产生的原因是剩余的石料和白灰等产品在外运过程中道路扬尘及部分车辆苫盖不严造成的，并非生产粉尘。</w:t>
            </w:r>
          </w:p>
        </w:tc>
        <w:tc>
          <w:tcPr>
            <w:tcW w:w="1988" w:type="dxa"/>
            <w:vAlign w:val="center"/>
          </w:tcPr>
          <w:p>
            <w:pPr>
              <w:spacing w:line="54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2022年12月31日</w:t>
            </w:r>
          </w:p>
        </w:tc>
        <w:tc>
          <w:tcPr>
            <w:tcW w:w="46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该案件共涉及16家企业，分别为腾远矿业、兴泰钙业、聚鑫矿业、石溪矿业、福地矿业、博隆矿业、亿达矿业、同祥矿业、森大矿业、运昌矿业、有峰矿业、衡亿矿业、力新矿业、康诚矿业、金采矿业、盛鹏矿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sz w:val="21"/>
                <w:szCs w:val="21"/>
                <w:lang w:val="en-US" w:eastAsia="zh-CN"/>
              </w:rPr>
              <w:t>区自然资源局：截至目前，腾远矿业、聚鑫矿业、福地矿业、亿达矿业、同祥矿业、衡亿矿业、康诚矿业、盛鹏矿业8家企业《采矿许可证》已到期关闭，并开展全面恢复治理；</w:t>
            </w:r>
            <w:r>
              <w:rPr>
                <w:rFonts w:hint="eastAsia" w:ascii="仿宋_GB2312" w:hAnsi="仿宋_GB2312" w:eastAsia="仿宋_GB2312" w:cs="仿宋_GB2312"/>
                <w:kern w:val="2"/>
                <w:sz w:val="21"/>
                <w:szCs w:val="21"/>
                <w:lang w:val="en-US" w:eastAsia="zh-CN" w:bidi="ar-SA"/>
              </w:rPr>
              <w:t>金采矿业虽《采矿许可证》未到期，但企业已提前申请闭坑，并将机械设备拆除，启动全面恢复治理；兴泰钙业、运昌矿业、力新矿业、有峰矿业、石溪矿业5家企业已列入我区新一轮矿山整合规划，正在按照规模化绿色矿山进行建设，履行相关审批手续；</w:t>
            </w:r>
            <w:r>
              <w:rPr>
                <w:rFonts w:hint="eastAsia" w:ascii="仿宋_GB2312" w:hAnsi="仿宋_GB2312" w:eastAsia="仿宋_GB2312" w:cs="仿宋_GB2312"/>
                <w:sz w:val="21"/>
                <w:szCs w:val="21"/>
                <w:lang w:val="en-US" w:eastAsia="zh-CN"/>
              </w:rPr>
              <w:t>博隆矿业、森大矿业2家企业</w:t>
            </w:r>
            <w:r>
              <w:rPr>
                <w:rFonts w:hint="eastAsia" w:ascii="仿宋_GB2312" w:hAnsi="仿宋_GB2312" w:eastAsia="仿宋_GB2312" w:cs="仿宋_GB2312"/>
                <w:kern w:val="2"/>
                <w:sz w:val="21"/>
                <w:szCs w:val="21"/>
                <w:highlight w:val="none"/>
                <w:lang w:val="en-US" w:eastAsia="zh-CN" w:bidi="ar-SA"/>
              </w:rPr>
              <w:t>按照《长春市双阳区非煤矿山专项整治行动实施方案》要求，已全部停产停业整顿，待手续齐全并达到环保督察整改要求验收合格后方可恢复生产。同时，对具备恢复条件的地块进行了植被恢复，对暂不具备恢复条件的已完成</w:t>
            </w:r>
            <w:r>
              <w:rPr>
                <w:rFonts w:hint="eastAsia" w:ascii="仿宋_GB2312" w:hAnsi="仿宋_GB2312" w:eastAsia="仿宋_GB2312" w:cs="仿宋_GB2312"/>
                <w:color w:val="auto"/>
                <w:kern w:val="2"/>
                <w:sz w:val="21"/>
                <w:szCs w:val="21"/>
                <w:highlight w:val="none"/>
                <w:lang w:val="en-US" w:eastAsia="zh-CN" w:bidi="ar-SA"/>
              </w:rPr>
              <w:t>《林地植被恢复方案》的制定工作并通过专家论证。</w:t>
            </w:r>
          </w:p>
          <w:p>
            <w:pPr>
              <w:ind w:firstLine="210" w:firstLineChars="10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交通运输局：双阳区交通运输局责成交通运输综合行政执法大队综合执法一、二、三、四中队针对案件中涉及的16个非煤矿山企业逐一下达非煤矿山企业告知书。并对这些企业周边的道路加大执法频次，对企业的货运车辆不苫盖苫布行为加大执法力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sz w:val="21"/>
                <w:szCs w:val="21"/>
                <w:lang w:val="en-US" w:eastAsia="zh-CN"/>
              </w:rPr>
              <w:t>区交警大队：</w:t>
            </w:r>
            <w:r>
              <w:rPr>
                <w:rFonts w:hint="eastAsia" w:ascii="仿宋_GB2312" w:hAnsi="仿宋_GB2312" w:eastAsia="仿宋_GB2312" w:cs="仿宋_GB2312"/>
                <w:color w:val="auto"/>
                <w:sz w:val="21"/>
                <w:szCs w:val="21"/>
                <w:highlight w:val="none"/>
                <w:lang w:val="en-US" w:eastAsia="zh-CN"/>
              </w:rPr>
              <w:t>针对粉尘污染问题，双阳交警大队高度重视，加强对双阳区鹿乡镇石溪、常家、方家等村屯周边道路的巡逻管控力度，同时加大队超载、不盖苫布等重点违法行为的查处力度，在SOO1、G334依托辖区派出所设置四处临时检查点，充分发挥临时检查点的咽喉作用，对途径临</w:t>
            </w:r>
            <w:bookmarkStart w:id="0" w:name="_GoBack"/>
            <w:bookmarkEnd w:id="0"/>
            <w:r>
              <w:rPr>
                <w:rFonts w:hint="eastAsia" w:ascii="仿宋_GB2312" w:hAnsi="仿宋_GB2312" w:eastAsia="仿宋_GB2312" w:cs="仿宋_GB2312"/>
                <w:color w:val="auto"/>
                <w:sz w:val="21"/>
                <w:szCs w:val="21"/>
                <w:highlight w:val="none"/>
                <w:lang w:val="en-US" w:eastAsia="zh-CN"/>
              </w:rPr>
              <w:t>时检查点的重点车辆严管严查，形成高压严管态势，营造严管氛围，截止11月17日，全年共查处大货车超载违法行为3430件，飘洒散落物违法行为913件。</w:t>
            </w:r>
          </w:p>
          <w:p>
            <w:pPr>
              <w:rPr>
                <w:rFonts w:hint="eastAsia" w:ascii="仿宋_GB2312" w:hAnsi="仿宋_GB2312" w:eastAsia="仿宋_GB2312" w:cs="仿宋_GB2312"/>
                <w:sz w:val="21"/>
                <w:szCs w:val="21"/>
                <w:lang w:val="en-US" w:eastAsia="zh-CN"/>
              </w:rPr>
            </w:pPr>
          </w:p>
        </w:tc>
      </w:tr>
    </w:tbl>
    <w:p/>
    <w:sectPr>
      <w:pgSz w:w="16838" w:h="11906" w:orient="landscape"/>
      <w:pgMar w:top="1531" w:right="1701" w:bottom="1531" w:left="141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jk1MDEyOGYxYzQ3YjQ2ZDA1YzMwNDhjNzQ2NjYifQ=="/>
  </w:docVars>
  <w:rsids>
    <w:rsidRoot w:val="008E7CC0"/>
    <w:rsid w:val="0002026F"/>
    <w:rsid w:val="007E6DD0"/>
    <w:rsid w:val="008E7CC0"/>
    <w:rsid w:val="00973EE0"/>
    <w:rsid w:val="00B64BF3"/>
    <w:rsid w:val="00BF3F41"/>
    <w:rsid w:val="00F50DB3"/>
    <w:rsid w:val="02C8678C"/>
    <w:rsid w:val="057A0E9D"/>
    <w:rsid w:val="0ADC0F7C"/>
    <w:rsid w:val="0CC96EB2"/>
    <w:rsid w:val="0DDB32E6"/>
    <w:rsid w:val="0FB27BD7"/>
    <w:rsid w:val="10307238"/>
    <w:rsid w:val="106E4B7E"/>
    <w:rsid w:val="11885826"/>
    <w:rsid w:val="171D0D4F"/>
    <w:rsid w:val="1B222279"/>
    <w:rsid w:val="1DAD1E0F"/>
    <w:rsid w:val="1F335006"/>
    <w:rsid w:val="233137A5"/>
    <w:rsid w:val="2550347D"/>
    <w:rsid w:val="259B084C"/>
    <w:rsid w:val="268C2457"/>
    <w:rsid w:val="2BD65D1A"/>
    <w:rsid w:val="2CF118A6"/>
    <w:rsid w:val="2F115981"/>
    <w:rsid w:val="2F7441D1"/>
    <w:rsid w:val="31925430"/>
    <w:rsid w:val="34401713"/>
    <w:rsid w:val="37F175DF"/>
    <w:rsid w:val="38AF1757"/>
    <w:rsid w:val="3E30325B"/>
    <w:rsid w:val="3F480357"/>
    <w:rsid w:val="42C43A92"/>
    <w:rsid w:val="42EB5C6D"/>
    <w:rsid w:val="439E6DFE"/>
    <w:rsid w:val="45775EEC"/>
    <w:rsid w:val="491B1187"/>
    <w:rsid w:val="4B334795"/>
    <w:rsid w:val="4B975060"/>
    <w:rsid w:val="4F117F6D"/>
    <w:rsid w:val="5B20031B"/>
    <w:rsid w:val="5B2560A5"/>
    <w:rsid w:val="5B344BFF"/>
    <w:rsid w:val="67D12A46"/>
    <w:rsid w:val="6A2B17DE"/>
    <w:rsid w:val="6AC97D3F"/>
    <w:rsid w:val="714346AA"/>
    <w:rsid w:val="71B5360B"/>
    <w:rsid w:val="7843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8"/>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20"/>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link w:val="19"/>
    <w:qFormat/>
    <w:uiPriority w:val="0"/>
    <w:pPr>
      <w:ind w:firstLine="420" w:firstLineChars="200"/>
    </w:pPr>
    <w:rPr>
      <w:rFonts w:eastAsia="仿宋"/>
      <w:sz w:val="32"/>
    </w:rPr>
  </w:style>
  <w:style w:type="paragraph" w:styleId="7">
    <w:name w:val="toc 2"/>
    <w:basedOn w:val="1"/>
    <w:next w:val="1"/>
    <w:qFormat/>
    <w:uiPriority w:val="0"/>
    <w:pPr>
      <w:ind w:left="420" w:leftChars="200"/>
    </w:pPr>
  </w:style>
  <w:style w:type="paragraph" w:styleId="8">
    <w:name w:val="Body Text Indent"/>
    <w:basedOn w:val="1"/>
    <w:next w:val="6"/>
    <w:unhideWhenUsed/>
    <w:qFormat/>
    <w:uiPriority w:val="99"/>
    <w:pPr>
      <w:ind w:firstLine="560" w:firstLineChars="200"/>
    </w:pPr>
    <w:rPr>
      <w:rFonts w:ascii="Times New Roman" w:hAnsi="Times New Roman"/>
      <w:sz w:val="2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next w:val="1"/>
    <w:unhideWhenUsed/>
    <w:qFormat/>
    <w:uiPriority w:val="99"/>
    <w:pPr>
      <w:ind w:firstLine="420"/>
    </w:pPr>
  </w:style>
  <w:style w:type="paragraph" w:styleId="14">
    <w:name w:val="List Paragraph"/>
    <w:basedOn w:val="1"/>
    <w:qFormat/>
    <w:uiPriority w:val="34"/>
    <w:pPr>
      <w:ind w:firstLine="420" w:firstLineChars="200"/>
    </w:pPr>
  </w:style>
  <w:style w:type="character" w:customStyle="1" w:styleId="15">
    <w:name w:val="页眉 Char"/>
    <w:basedOn w:val="13"/>
    <w:link w:val="10"/>
    <w:qFormat/>
    <w:uiPriority w:val="0"/>
    <w:rPr>
      <w:rFonts w:ascii="Times New Roman" w:hAnsi="Times New Roman"/>
      <w:kern w:val="2"/>
      <w:sz w:val="18"/>
      <w:szCs w:val="18"/>
    </w:rPr>
  </w:style>
  <w:style w:type="character" w:customStyle="1" w:styleId="16">
    <w:name w:val="页脚 Char"/>
    <w:basedOn w:val="13"/>
    <w:link w:val="9"/>
    <w:qFormat/>
    <w:uiPriority w:val="0"/>
    <w:rPr>
      <w:rFonts w:ascii="Times New Roman" w:hAnsi="Times New Roman"/>
      <w:kern w:val="2"/>
      <w:sz w:val="18"/>
      <w:szCs w:val="18"/>
    </w:rPr>
  </w:style>
  <w:style w:type="character" w:customStyle="1" w:styleId="17">
    <w:name w:val="标题 1 Char"/>
    <w:link w:val="2"/>
    <w:qFormat/>
    <w:uiPriority w:val="0"/>
    <w:rPr>
      <w:b/>
      <w:kern w:val="44"/>
      <w:sz w:val="44"/>
    </w:rPr>
  </w:style>
  <w:style w:type="character" w:customStyle="1" w:styleId="18">
    <w:name w:val="标题 2 Char"/>
    <w:link w:val="3"/>
    <w:qFormat/>
    <w:uiPriority w:val="0"/>
    <w:rPr>
      <w:rFonts w:ascii="Arial" w:hAnsi="Arial" w:eastAsia="黑体"/>
      <w:b/>
      <w:sz w:val="32"/>
    </w:rPr>
  </w:style>
  <w:style w:type="character" w:customStyle="1" w:styleId="19">
    <w:name w:val="正文缩进 Char"/>
    <w:link w:val="6"/>
    <w:qFormat/>
    <w:uiPriority w:val="0"/>
    <w:rPr>
      <w:rFonts w:eastAsia="仿宋"/>
      <w:sz w:val="32"/>
    </w:rPr>
  </w:style>
  <w:style w:type="character" w:customStyle="1" w:styleId="20">
    <w:name w:val="标题 4 Char"/>
    <w:link w:val="5"/>
    <w:qFormat/>
    <w:uiPriority w:val="0"/>
    <w:rPr>
      <w:rFonts w:ascii="Arial" w:hAnsi="Arial" w:eastAsia="黑体"/>
      <w:b/>
      <w:sz w:val="28"/>
    </w:rPr>
  </w:style>
  <w:style w:type="character" w:customStyle="1" w:styleId="21">
    <w:name w:val="标题 3 Char"/>
    <w:link w:val="4"/>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434</Words>
  <Characters>490</Characters>
  <Lines>13</Lines>
  <Paragraphs>3</Paragraphs>
  <TotalTime>0</TotalTime>
  <ScaleCrop>false</ScaleCrop>
  <LinksUpToDate>false</LinksUpToDate>
  <CharactersWithSpaces>494</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2019-08-02T08:09:00Z</dcterms:created>
  <dc:creator>Comix</dc:creator>
  <cp:lastModifiedBy> ꧁༺ൢ潘达ൢ༻꧂ </cp:lastModifiedBy>
  <cp:lastPrinted>2023-05-30T02:45:00Z</cp:lastPrinted>
  <dcterms:modified xsi:type="dcterms:W3CDTF">2023-11-17T07:28:54Z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123B077CEF0A4154B5CD1612520BBE36_13</vt:lpwstr>
  </property>
</Properties>
</file>