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第一轮省级</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04"/>
        <w:gridCol w:w="7060"/>
        <w:gridCol w:w="1922"/>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31" w:type="dxa"/>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1304" w:type="dxa"/>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7060" w:type="dxa"/>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1922" w:type="dxa"/>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3450" w:type="dxa"/>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831" w:type="dxa"/>
            <w:vAlign w:val="center"/>
          </w:tcPr>
          <w:p>
            <w:pPr>
              <w:spacing w:line="5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727*</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sz w:val="21"/>
                <w:szCs w:val="21"/>
              </w:rPr>
            </w:pPr>
            <w:r>
              <w:rPr>
                <w:rFonts w:hint="eastAsia" w:ascii="仿宋" w:hAnsi="仿宋" w:eastAsia="仿宋" w:cs="仿宋"/>
                <w:sz w:val="20"/>
                <w:szCs w:val="20"/>
                <w:highlight w:val="none"/>
                <w:lang w:val="en-US" w:eastAsia="zh-CN"/>
              </w:rPr>
              <w:t>鹿乡镇方家村，王某“亿达采石场”毁坏方家村10社北山林木采石，破坏生态环境。</w:t>
            </w:r>
          </w:p>
        </w:tc>
        <w:tc>
          <w:tcPr>
            <w:tcW w:w="7060" w:type="dxa"/>
            <w:vAlign w:val="center"/>
          </w:tcPr>
          <w:p>
            <w:pPr>
              <w:spacing w:line="240" w:lineRule="auto"/>
              <w:ind w:firstLine="630" w:firstLineChars="300"/>
              <w:jc w:val="left"/>
              <w:rPr>
                <w:rFonts w:hint="eastAsia" w:ascii="仿宋" w:hAnsi="仿宋" w:eastAsia="仿宋" w:cs="仿宋"/>
                <w:sz w:val="20"/>
                <w:szCs w:val="20"/>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仿宋" w:hAnsi="仿宋" w:eastAsia="仿宋" w:cs="仿宋"/>
                <w:sz w:val="20"/>
                <w:szCs w:val="20"/>
                <w:highlight w:val="none"/>
                <w:lang w:val="en-US" w:eastAsia="zh-CN"/>
              </w:rPr>
              <w:t>经核实，群众举报的情况属实。</w:t>
            </w:r>
          </w:p>
          <w:p>
            <w:pPr>
              <w:spacing w:line="240" w:lineRule="auto"/>
              <w:ind w:firstLine="400" w:firstLineChars="200"/>
              <w:jc w:val="left"/>
              <w:rPr>
                <w:rFonts w:hint="eastAsia" w:ascii="仿宋_GB2312" w:hAnsi="仿宋_GB2312" w:eastAsia="仿宋_GB2312" w:cs="仿宋_GB2312"/>
                <w:sz w:val="21"/>
                <w:szCs w:val="21"/>
              </w:rPr>
            </w:pPr>
            <w:r>
              <w:rPr>
                <w:rFonts w:hint="eastAsia" w:ascii="仿宋" w:hAnsi="仿宋" w:eastAsia="仿宋" w:cs="仿宋"/>
                <w:sz w:val="20"/>
                <w:szCs w:val="20"/>
                <w:highlight w:val="none"/>
                <w:lang w:val="en-US" w:eastAsia="zh-CN"/>
              </w:rPr>
              <w:t xml:space="preserve">   2018年8月14日，双阳区林业局、国土分局、鹿乡镇现场调查。经查，被投诉的石场为长春市双阳区亿达矿业有限公司，法人为王学东，办理了采矿许可证，位于双阳区鹿乡镇方家村10社北山。该矿业有限公司违法占用省级公益林地总面积1.204公顷。其中，双阳区国土分局于2012年9月对该矿业有限公司越界开采违法占用林地进行了行政处罚，处罚面积0.1655公顷；2015年12月双阳区国土分局对该矿业有限公司越界开采违法占用林地进行了行政处罚，处罚面积0.8231公顷；剩余0.2154公顷违法占用林地，双阳区鹿乡林业站已于2018年7月6日立案调查。   </w:t>
            </w:r>
          </w:p>
        </w:tc>
        <w:tc>
          <w:tcPr>
            <w:tcW w:w="1922" w:type="dxa"/>
            <w:vAlign w:val="center"/>
          </w:tcPr>
          <w:p>
            <w:pPr>
              <w:spacing w:line="540" w:lineRule="exact"/>
              <w:rPr>
                <w:rFonts w:hint="default" w:ascii="方正小标宋简体" w:hAnsi="仿宋" w:eastAsia="方正小标宋简体"/>
                <w:sz w:val="44"/>
                <w:szCs w:val="44"/>
                <w:lang w:val="en-US" w:eastAsia="zh-CN"/>
              </w:rPr>
            </w:pPr>
            <w:r>
              <w:rPr>
                <w:rFonts w:hint="eastAsia" w:ascii="仿宋_GB2312" w:hAnsi="仿宋_GB2312" w:eastAsia="仿宋_GB2312" w:cs="仿宋_GB2312"/>
                <w:sz w:val="21"/>
                <w:szCs w:val="21"/>
                <w:lang w:val="en-US" w:eastAsia="zh-CN"/>
              </w:rPr>
              <w:t>2022年12月31日</w:t>
            </w:r>
          </w:p>
        </w:tc>
        <w:tc>
          <w:tcPr>
            <w:tcW w:w="3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仿宋_GB2312" w:hAnsi="仿宋_GB2312" w:eastAsia="仿宋" w:cs="仿宋_GB2312"/>
                <w:sz w:val="21"/>
                <w:szCs w:val="21"/>
                <w:lang w:val="en-US" w:eastAsia="zh-CN"/>
              </w:rPr>
            </w:pPr>
            <w:r>
              <w:rPr>
                <w:rFonts w:hint="eastAsia" w:ascii="仿宋_GB2312" w:hAnsi="仿宋_GB2312" w:eastAsia="仿宋" w:cs="仿宋_GB2312"/>
                <w:sz w:val="21"/>
                <w:szCs w:val="21"/>
                <w:lang w:val="en-US" w:eastAsia="zh-CN"/>
              </w:rPr>
              <w:t>长春市</w:t>
            </w:r>
            <w:r>
              <w:rPr>
                <w:rFonts w:hint="default" w:ascii="仿宋_GB2312" w:hAnsi="仿宋_GB2312" w:eastAsia="仿宋" w:cs="仿宋_GB2312"/>
                <w:sz w:val="21"/>
                <w:szCs w:val="21"/>
                <w:lang w:val="en-US" w:eastAsia="zh-CN"/>
              </w:rPr>
              <w:t>双阳区</w:t>
            </w:r>
            <w:r>
              <w:rPr>
                <w:rFonts w:hint="eastAsia" w:ascii="仿宋_GB2312" w:hAnsi="仿宋_GB2312" w:eastAsia="仿宋" w:cs="仿宋_GB2312"/>
                <w:sz w:val="21"/>
                <w:szCs w:val="21"/>
                <w:lang w:val="en-US" w:eastAsia="zh-CN"/>
              </w:rPr>
              <w:t>自然资源局已对亿达矿业有限公司违法占用林地总面积1.204公顷进行查处。目前，该矿山企业已开展全面恢复治理，履行恢复治理义务。</w:t>
            </w:r>
            <w:bookmarkStart w:id="0" w:name="_GoBack"/>
            <w:bookmarkEnd w:id="0"/>
          </w:p>
          <w:p>
            <w:pPr>
              <w:pStyle w:val="2"/>
              <w:rPr>
                <w:rFonts w:hint="default"/>
                <w:lang w:val="en-US" w:eastAsia="zh-CN"/>
              </w:rPr>
            </w:pPr>
          </w:p>
        </w:tc>
      </w:tr>
    </w:tbl>
    <w:p/>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5134298"/>
    <w:rsid w:val="0ADC0F7C"/>
    <w:rsid w:val="0DAA21CF"/>
    <w:rsid w:val="0DDB32E6"/>
    <w:rsid w:val="0FB27BD7"/>
    <w:rsid w:val="10307238"/>
    <w:rsid w:val="106E4B7E"/>
    <w:rsid w:val="11885826"/>
    <w:rsid w:val="171D0D4F"/>
    <w:rsid w:val="1B222279"/>
    <w:rsid w:val="1DAD1E0F"/>
    <w:rsid w:val="1F250317"/>
    <w:rsid w:val="233137A5"/>
    <w:rsid w:val="2550347D"/>
    <w:rsid w:val="259B084C"/>
    <w:rsid w:val="268C2457"/>
    <w:rsid w:val="29212202"/>
    <w:rsid w:val="2CF118A6"/>
    <w:rsid w:val="2F115981"/>
    <w:rsid w:val="2F7441D1"/>
    <w:rsid w:val="31925430"/>
    <w:rsid w:val="34401713"/>
    <w:rsid w:val="34A002A0"/>
    <w:rsid w:val="37F175DF"/>
    <w:rsid w:val="3D223B12"/>
    <w:rsid w:val="3F480357"/>
    <w:rsid w:val="42C43A92"/>
    <w:rsid w:val="42EB5C6D"/>
    <w:rsid w:val="439E6DFE"/>
    <w:rsid w:val="4549433F"/>
    <w:rsid w:val="45775EEC"/>
    <w:rsid w:val="491B1187"/>
    <w:rsid w:val="4B975060"/>
    <w:rsid w:val="4C2C640C"/>
    <w:rsid w:val="4F117F6D"/>
    <w:rsid w:val="5B20031B"/>
    <w:rsid w:val="5B2560A5"/>
    <w:rsid w:val="5B344BFF"/>
    <w:rsid w:val="60363DC9"/>
    <w:rsid w:val="6A2B17DE"/>
    <w:rsid w:val="6AC97D3F"/>
    <w:rsid w:val="6D787B40"/>
    <w:rsid w:val="6F113FC8"/>
    <w:rsid w:val="714346AA"/>
    <w:rsid w:val="74473A16"/>
    <w:rsid w:val="784319E7"/>
    <w:rsid w:val="7B3A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1087</Words>
  <Characters>1146</Characters>
  <Lines>13</Lines>
  <Paragraphs>3</Paragraphs>
  <TotalTime>73</TotalTime>
  <ScaleCrop>false</ScaleCrop>
  <LinksUpToDate>false</LinksUpToDate>
  <CharactersWithSpaces>1180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 ꧁༺ൢ潘达ൢ༻꧂ </cp:lastModifiedBy>
  <cp:lastPrinted>2023-10-13T02:06:19Z</cp:lastPrinted>
  <dcterms:modified xsi:type="dcterms:W3CDTF">2023-10-13T02:26:00Z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3444A9AD52374B30AD621BF3AE4FCEF4</vt:lpwstr>
  </property>
</Properties>
</file>