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仿宋" w:eastAsia="方正小标宋简体"/>
          <w:sz w:val="44"/>
          <w:szCs w:val="44"/>
        </w:rPr>
      </w:pPr>
      <w:r>
        <w:rPr>
          <w:rFonts w:hint="eastAsia" w:ascii="仿宋" w:hAnsi="仿宋" w:eastAsia="仿宋"/>
          <w:sz w:val="32"/>
          <w:szCs w:val="32"/>
        </w:rPr>
        <w:t>附件</w:t>
      </w:r>
    </w:p>
    <w:p>
      <w:pPr>
        <w:spacing w:line="540"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val="en-US" w:eastAsia="zh-CN"/>
        </w:rPr>
        <w:t>第二轮</w:t>
      </w:r>
      <w:r>
        <w:rPr>
          <w:rFonts w:hint="eastAsia" w:ascii="方正小标宋简体" w:hAnsi="仿宋" w:eastAsia="方正小标宋简体"/>
          <w:sz w:val="44"/>
          <w:szCs w:val="44"/>
        </w:rPr>
        <w:t>吉林省生态环境保护督察</w:t>
      </w:r>
      <w:r>
        <w:rPr>
          <w:rFonts w:hint="eastAsia" w:ascii="方正小标宋简体" w:hAnsi="仿宋" w:eastAsia="方正小标宋简体"/>
          <w:sz w:val="44"/>
          <w:szCs w:val="44"/>
          <w:lang w:val="en-US" w:eastAsia="zh-CN"/>
        </w:rPr>
        <w:t>信访案件</w:t>
      </w:r>
    </w:p>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　</w:t>
      </w:r>
      <w:r>
        <w:rPr>
          <w:rFonts w:hint="eastAsia" w:ascii="方正小标宋简体" w:hAnsi="仿宋" w:eastAsia="方正小标宋简体"/>
          <w:sz w:val="44"/>
          <w:szCs w:val="44"/>
        </w:rPr>
        <w:t>完成情况公示表</w:t>
      </w:r>
    </w:p>
    <w:tbl>
      <w:tblPr>
        <w:tblStyle w:val="8"/>
        <w:tblpPr w:leftFromText="180" w:rightFromText="180" w:vertAnchor="text" w:horzAnchor="page" w:tblpX="1308" w:tblpY="3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39"/>
        <w:gridCol w:w="2860"/>
        <w:gridCol w:w="2010"/>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82" w:type="dxa"/>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1439" w:type="dxa"/>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2860" w:type="dxa"/>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2010" w:type="dxa"/>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7076" w:type="dxa"/>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9" w:hRule="atLeast"/>
        </w:trPr>
        <w:tc>
          <w:tcPr>
            <w:tcW w:w="1182" w:type="dxa"/>
            <w:vAlign w:val="center"/>
          </w:tcPr>
          <w:p>
            <w:pPr>
              <w:spacing w:line="540" w:lineRule="exact"/>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CCD20230801042</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 w:hAnsi="仿宋" w:eastAsia="仿宋" w:cs="仿宋"/>
                <w:sz w:val="21"/>
                <w:szCs w:val="21"/>
                <w:lang w:eastAsia="zh-CN"/>
              </w:rPr>
              <w:t>双阳区天力一品小区4与5栋之间，小炉子烧烤店一是外装排风机噪音扰民，二是油烟异味严重。</w:t>
            </w:r>
          </w:p>
        </w:tc>
        <w:tc>
          <w:tcPr>
            <w:tcW w:w="2860" w:type="dxa"/>
            <w:vAlign w:val="center"/>
          </w:tcPr>
          <w:p>
            <w:pPr>
              <w:ind w:firstLine="420" w:firstLineChars="200"/>
              <w:jc w:val="left"/>
              <w:rPr>
                <w:rFonts w:hint="eastAsia" w:ascii="仿宋_GB2312" w:hAnsi="仿宋_GB2312" w:eastAsia="仿宋_GB2312" w:cs="仿宋_GB2312"/>
                <w:sz w:val="21"/>
                <w:szCs w:val="21"/>
              </w:rPr>
            </w:pPr>
            <w:r>
              <w:rPr>
                <w:rFonts w:hint="eastAsia" w:ascii="仿宋" w:hAnsi="仿宋" w:eastAsia="仿宋" w:cs="仿宋"/>
                <w:kern w:val="2"/>
                <w:sz w:val="21"/>
                <w:szCs w:val="21"/>
                <w:highlight w:val="none"/>
                <w:lang w:val="en-US" w:eastAsia="zh-CN" w:bidi="ar-SA"/>
              </w:rPr>
              <w:t xml:space="preserve">  2023年8月2日22点30分，长春市生态环境局双阳区分局、长春市双阳区城市管理行政执法局工作人员现场调查。经查，双阳区小兰哥小肉串店为天力一品生活广场四号楼南侧的临街门市，经营手续齐全。该门市有外装排风机，排风口位于天力一品生活广场四号楼与五号楼之间，配有油烟净化设施，由于油烟净化设施未及时清洗，产生噪音、油烟影响周边居民正常生活。</w:t>
            </w:r>
          </w:p>
        </w:tc>
        <w:tc>
          <w:tcPr>
            <w:tcW w:w="2010" w:type="dxa"/>
            <w:vAlign w:val="center"/>
          </w:tcPr>
          <w:p>
            <w:pPr>
              <w:spacing w:line="540" w:lineRule="exact"/>
              <w:rPr>
                <w:rFonts w:hint="default" w:ascii="方正小标宋简体" w:hAnsi="仿宋" w:eastAsia="方正小标宋简体"/>
                <w:sz w:val="44"/>
                <w:szCs w:val="44"/>
                <w:lang w:val="en-US" w:eastAsia="zh-CN"/>
              </w:rPr>
            </w:pPr>
            <w:r>
              <w:rPr>
                <w:rFonts w:hint="default" w:ascii="Times New Roman" w:hAnsi="Times New Roman" w:eastAsia="仿宋" w:cs="Times New Roman"/>
                <w:sz w:val="21"/>
                <w:szCs w:val="21"/>
                <w:lang w:val="en-US" w:eastAsia="zh-CN"/>
              </w:rPr>
              <w:t>202３年９月3０日</w:t>
            </w:r>
          </w:p>
        </w:tc>
        <w:tc>
          <w:tcPr>
            <w:tcW w:w="707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2023年8月2日长春市生态环境局双阳区分局工作人员现场要求该店立即对排风设备进行维修或更换；长春市双阳区城市管理行政执法局工作人员当场对业主下达了《责令限期整改通知书》（长双执责改〔2023〕010018号），责令业主3个工作日内暂停营业整改，彻底清洗油烟净化设施，确保油烟排放不扰民。业主承诺将积极配合，暂停营业整改。</w:t>
            </w:r>
          </w:p>
          <w:p>
            <w:pPr>
              <w:pStyle w:val="7"/>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2023年8月3日至9月3日双阳区小兰哥小肉串店均自行停业整改，9月4日完成高空排放整改。2023年9月8日长春市双阳区城市管理行政执法局组织第三方检测机构对双阳区小兰哥小肉串店油烟排放进行检测，检测结果为0.35mg/m³,低于正常排放标准的2.0mg/m³，符合排放标准。2023年9月13日，长春市生态环境局双阳区分局组织人员对双阳区小兰哥小肉串店风机噪声排放进行监测，结果为昼间51.3dB,夜间48.3dB，符合《社会生活环境噪声排放标准》(GB22337-2008)规定的4a类标准（交通干线50米范围内）。</w:t>
            </w:r>
          </w:p>
          <w:p>
            <w:pPr>
              <w:pStyle w:val="7"/>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default"/>
                <w:lang w:val="en-US" w:eastAsia="zh-CN"/>
              </w:rPr>
            </w:pPr>
            <w:r>
              <w:rPr>
                <w:rFonts w:hint="eastAsia" w:ascii="仿宋" w:hAnsi="仿宋" w:eastAsia="仿宋" w:cs="仿宋"/>
                <w:kern w:val="2"/>
                <w:sz w:val="21"/>
                <w:szCs w:val="21"/>
                <w:highlight w:val="none"/>
                <w:lang w:val="en-US" w:eastAsia="zh-CN" w:bidi="ar-SA"/>
              </w:rPr>
              <w:t>下一步，长春市双阳区城市管理行政执法局和长春市生态环境局双阳区分局将加强对双阳区小兰哥小肉串店的监督管理，加大日常巡查力度与频次，督促其对排风设备和油烟净化设施定期进行清洗与检修，建立清洗台账，做好清洗记录，确保设施正常运行，防止噪声、油烟异味扰民问题发生。</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FD27D1-A317-46E6-BDE9-FB3A3B9710E6}"/>
  </w:font>
  <w:font w:name="仿宋_GB2312">
    <w:altName w:val="仿宋"/>
    <w:panose1 w:val="02010609030101010101"/>
    <w:charset w:val="86"/>
    <w:family w:val="modern"/>
    <w:pitch w:val="default"/>
    <w:sig w:usb0="00000000" w:usb1="00000000" w:usb2="00000000" w:usb3="00000000" w:csb0="00040000" w:csb1="00000000"/>
    <w:embedRegular r:id="rId2" w:fontKey="{8B1BCAAE-4F2A-4042-A604-C98654C5E10D}"/>
  </w:font>
  <w:font w:name="仿宋">
    <w:panose1 w:val="02010609060101010101"/>
    <w:charset w:val="86"/>
    <w:family w:val="auto"/>
    <w:pitch w:val="default"/>
    <w:sig w:usb0="800002BF" w:usb1="38CF7CFA" w:usb2="00000016" w:usb3="00000000" w:csb0="00040001" w:csb1="00000000"/>
    <w:embedRegular r:id="rId3" w:fontKey="{1DA998EC-0153-4A99-AD83-D67A3D763651}"/>
  </w:font>
  <w:font w:name="方正小标宋简体">
    <w:panose1 w:val="02000000000000000000"/>
    <w:charset w:val="86"/>
    <w:family w:val="script"/>
    <w:pitch w:val="default"/>
    <w:sig w:usb0="00000001" w:usb1="08000000" w:usb2="00000000" w:usb3="00000000" w:csb0="00040000" w:csb1="00000000"/>
    <w:embedRegular r:id="rId4" w:fontKey="{6B8CD66F-D880-4454-9D0C-45FC90FC76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1FF04534"/>
    <w:rsid w:val="1FF0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index 5"/>
    <w:basedOn w:val="1"/>
    <w:next w:val="1"/>
    <w:unhideWhenUsed/>
    <w:qFormat/>
    <w:uiPriority w:val="99"/>
    <w:pPr>
      <w:snapToGrid w:val="0"/>
      <w:spacing w:line="360" w:lineRule="auto"/>
      <w:ind w:firstLine="640" w:firstLineChars="200"/>
    </w:pPr>
    <w:rPr>
      <w:rFonts w:ascii="黑体" w:hAnsi="黑体" w:eastAsia="黑体" w:cs="仿宋_GB2312"/>
      <w:bCs/>
      <w:kern w:val="0"/>
      <w:sz w:val="32"/>
      <w:szCs w:val="32"/>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Body Text Indent"/>
    <w:basedOn w:val="1"/>
    <w:next w:val="4"/>
    <w:unhideWhenUsed/>
    <w:qFormat/>
    <w:uiPriority w:val="99"/>
    <w:pPr>
      <w:ind w:firstLine="560" w:firstLineChars="200"/>
    </w:pPr>
    <w:rPr>
      <w:rFonts w:ascii="Times New Roman" w:hAnsi="Times New Roman"/>
      <w:sz w:val="28"/>
    </w:rPr>
  </w:style>
  <w:style w:type="paragraph" w:styleId="7">
    <w:name w:val="Body Text First Indent 2"/>
    <w:basedOn w:val="6"/>
    <w:next w:val="1"/>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758</Words>
  <Characters>841</Characters>
  <Lines>0</Lines>
  <Paragraphs>0</Paragraphs>
  <TotalTime>0</TotalTime>
  <ScaleCrop>false</ScaleCrop>
  <LinksUpToDate>false</LinksUpToDate>
  <CharactersWithSpaces>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2023-09-14T06:58:00Z</dcterms:created>
  <dc:creator>Tang☀️☘</dc:creator>
  <cp:lastModifiedBy>Tang☀️☘</cp:lastModifiedBy>
  <dcterms:modified xsi:type="dcterms:W3CDTF">2023-09-14T06:59:09Z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1C7E1E943116473FA93F575E2C7C0D1D_11</vt:lpwstr>
  </property>
</Properties>
</file>