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双阳区关于</w:t>
      </w:r>
      <w:r>
        <w:rPr>
          <w:rFonts w:hint="eastAsia" w:ascii="方正小标宋简体" w:hAnsi="仿宋" w:eastAsia="方正小标宋简体"/>
          <w:sz w:val="44"/>
          <w:szCs w:val="44"/>
          <w:lang w:eastAsia="zh-CN"/>
        </w:rPr>
        <w:t>第一轮中央</w:t>
      </w:r>
      <w:r>
        <w:rPr>
          <w:rFonts w:hint="eastAsia" w:ascii="方正小标宋简体" w:hAnsi="仿宋" w:eastAsia="方正小标宋简体"/>
          <w:sz w:val="44"/>
          <w:szCs w:val="44"/>
        </w:rPr>
        <w:t>生态环境保护督察信访案件完成情况公示表</w:t>
      </w:r>
    </w:p>
    <w:tbl>
      <w:tblPr>
        <w:tblStyle w:val="8"/>
        <w:tblpPr w:leftFromText="180" w:rightFromText="180" w:vertAnchor="text" w:horzAnchor="page" w:tblpX="1252" w:tblpY="601"/>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2683"/>
        <w:gridCol w:w="4559"/>
        <w:gridCol w:w="1927"/>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182" w:type="dxa"/>
            <w:vAlign w:val="center"/>
          </w:tcPr>
          <w:p>
            <w:pPr>
              <w:spacing w:line="300" w:lineRule="exact"/>
              <w:jc w:val="center"/>
              <w:rPr>
                <w:rFonts w:ascii="仿宋" w:hAnsi="仿宋" w:eastAsia="仿宋"/>
                <w:sz w:val="24"/>
              </w:rPr>
            </w:pPr>
            <w:r>
              <w:rPr>
                <w:rFonts w:hint="eastAsia" w:ascii="仿宋" w:hAnsi="仿宋" w:eastAsia="仿宋"/>
                <w:sz w:val="24"/>
              </w:rPr>
              <w:t>案件</w:t>
            </w:r>
          </w:p>
          <w:p>
            <w:pPr>
              <w:spacing w:line="300" w:lineRule="exact"/>
              <w:jc w:val="center"/>
              <w:rPr>
                <w:rFonts w:ascii="仿宋" w:hAnsi="仿宋" w:eastAsia="仿宋"/>
                <w:sz w:val="24"/>
              </w:rPr>
            </w:pPr>
            <w:r>
              <w:rPr>
                <w:rFonts w:hint="eastAsia" w:ascii="仿宋" w:hAnsi="仿宋" w:eastAsia="仿宋"/>
                <w:sz w:val="24"/>
              </w:rPr>
              <w:t>编号</w:t>
            </w:r>
          </w:p>
        </w:tc>
        <w:tc>
          <w:tcPr>
            <w:tcW w:w="2683" w:type="dxa"/>
            <w:vAlign w:val="center"/>
          </w:tcPr>
          <w:p>
            <w:pPr>
              <w:spacing w:line="540" w:lineRule="exact"/>
              <w:jc w:val="center"/>
              <w:rPr>
                <w:rFonts w:ascii="仿宋" w:hAnsi="仿宋" w:eastAsia="仿宋"/>
                <w:sz w:val="24"/>
              </w:rPr>
            </w:pPr>
            <w:r>
              <w:rPr>
                <w:rFonts w:hint="eastAsia" w:ascii="仿宋" w:hAnsi="仿宋" w:eastAsia="仿宋"/>
                <w:sz w:val="24"/>
              </w:rPr>
              <w:t>交办问题</w:t>
            </w:r>
          </w:p>
        </w:tc>
        <w:tc>
          <w:tcPr>
            <w:tcW w:w="4559" w:type="dxa"/>
            <w:vAlign w:val="center"/>
          </w:tcPr>
          <w:p>
            <w:pPr>
              <w:spacing w:line="540" w:lineRule="exact"/>
              <w:jc w:val="center"/>
              <w:rPr>
                <w:rFonts w:ascii="仿宋" w:hAnsi="仿宋" w:eastAsia="仿宋"/>
                <w:sz w:val="24"/>
              </w:rPr>
            </w:pPr>
            <w:r>
              <w:rPr>
                <w:rFonts w:hint="eastAsia" w:ascii="仿宋" w:hAnsi="仿宋" w:eastAsia="仿宋"/>
                <w:sz w:val="24"/>
              </w:rPr>
              <w:t>调查处理情况</w:t>
            </w:r>
          </w:p>
        </w:tc>
        <w:tc>
          <w:tcPr>
            <w:tcW w:w="1927" w:type="dxa"/>
            <w:vAlign w:val="center"/>
          </w:tcPr>
          <w:p>
            <w:pPr>
              <w:spacing w:line="540" w:lineRule="exact"/>
              <w:jc w:val="center"/>
              <w:rPr>
                <w:rFonts w:ascii="仿宋" w:hAnsi="仿宋" w:eastAsia="仿宋"/>
                <w:sz w:val="24"/>
              </w:rPr>
            </w:pPr>
            <w:r>
              <w:rPr>
                <w:rFonts w:hint="eastAsia" w:ascii="仿宋" w:hAnsi="仿宋" w:eastAsia="仿宋"/>
                <w:sz w:val="24"/>
              </w:rPr>
              <w:t>办结时限</w:t>
            </w:r>
          </w:p>
        </w:tc>
        <w:tc>
          <w:tcPr>
            <w:tcW w:w="4216" w:type="dxa"/>
            <w:vAlign w:val="center"/>
          </w:tcPr>
          <w:p>
            <w:pPr>
              <w:spacing w:line="540" w:lineRule="exact"/>
              <w:jc w:val="center"/>
              <w:rPr>
                <w:rFonts w:ascii="仿宋" w:hAnsi="仿宋" w:eastAsia="仿宋"/>
                <w:sz w:val="24"/>
              </w:rPr>
            </w:pPr>
            <w:r>
              <w:rPr>
                <w:rFonts w:hint="eastAsia" w:ascii="仿宋" w:hAnsi="仿宋" w:eastAsia="仿宋"/>
                <w:sz w:val="24"/>
              </w:rPr>
              <w:t>整改完成情况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8" w:hRule="atLeast"/>
        </w:trPr>
        <w:tc>
          <w:tcPr>
            <w:tcW w:w="1182" w:type="dxa"/>
            <w:vAlign w:val="center"/>
          </w:tcPr>
          <w:p>
            <w:pPr>
              <w:spacing w:line="54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4169</w:t>
            </w:r>
          </w:p>
        </w:tc>
        <w:tc>
          <w:tcPr>
            <w:tcW w:w="268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仿宋_GB2312" w:hAnsi="仿宋_GB2312" w:eastAsia="仿宋_GB2312" w:cs="仿宋_GB2312"/>
                <w:sz w:val="21"/>
                <w:szCs w:val="21"/>
              </w:rPr>
            </w:pPr>
            <w:r>
              <w:rPr>
                <w:rFonts w:hint="eastAsia" w:ascii="仿宋" w:hAnsi="仿宋" w:eastAsia="仿宋" w:cs="仿宋"/>
                <w:sz w:val="21"/>
                <w:szCs w:val="21"/>
                <w:highlight w:val="none"/>
                <w:lang w:val="en-US" w:eastAsia="zh-CN"/>
              </w:rPr>
              <w:t>双阳区太平镇将军村3队采石场在南山上私自砍伐了3垧国家林地的树木；该采石场曾于2011年将南山西侧22年树龄的树木砍伐，面积达2万平方米。举报人要求将该石场取缔。</w:t>
            </w:r>
          </w:p>
        </w:tc>
        <w:tc>
          <w:tcPr>
            <w:tcW w:w="4559" w:type="dxa"/>
            <w:vAlign w:val="center"/>
          </w:tcPr>
          <w:p>
            <w:pPr>
              <w:ind w:firstLine="420" w:firstLineChars="200"/>
              <w:jc w:val="left"/>
              <w:rPr>
                <w:rFonts w:hint="eastAsia" w:ascii="仿宋_GB2312" w:hAnsi="仿宋_GB2312" w:eastAsia="仿宋_GB2312" w:cs="仿宋_GB2312"/>
                <w:sz w:val="21"/>
                <w:szCs w:val="21"/>
              </w:rPr>
            </w:pPr>
            <w:r>
              <w:rPr>
                <w:rFonts w:hint="eastAsia" w:ascii="仿宋" w:hAnsi="仿宋" w:eastAsia="仿宋" w:cs="仿宋"/>
                <w:kern w:val="2"/>
                <w:sz w:val="21"/>
                <w:szCs w:val="21"/>
                <w:highlight w:val="none"/>
                <w:lang w:val="en-US" w:eastAsia="zh-CN" w:bidi="ar-SA"/>
              </w:rPr>
              <w:t xml:space="preserve">  2017年9月3日,双阳区林业局、国土分局、太平镇政府联合进行调查。经查，该采石场为长春</w:t>
            </w:r>
            <w:bookmarkStart w:id="0" w:name="_GoBack"/>
            <w:bookmarkEnd w:id="0"/>
            <w:r>
              <w:rPr>
                <w:rFonts w:hint="eastAsia" w:ascii="仿宋" w:hAnsi="仿宋" w:eastAsia="仿宋" w:cs="仿宋"/>
                <w:kern w:val="2"/>
                <w:sz w:val="21"/>
                <w:szCs w:val="21"/>
                <w:highlight w:val="none"/>
                <w:lang w:val="en-US" w:eastAsia="zh-CN" w:bidi="ar-SA"/>
              </w:rPr>
              <w:t>中材东龙建材有限公司，持有采矿许可证、安全生产许可，2014年4月28日通过双阳区环保分局环评审批，2016年5月31日通过双阳区环保分局环保验收，未办理建设项目使用林地审批手续。2017年7月中旬至今，该采石场周边修建村村通水泥路已自行停止开采。在南山违法占用国有林地0.906公顷，其中0.5883公顷已于2009年和2013年进行了2次处罚，处罚金额为5.883万元，另有0.3177公顷双阳区林业局于2017年9月5日下达《林业行政处罚意见书》（长双森公林罚意字[2017] 第006号）,责令6个月内恢复林地原状，并处罚款63540元；该采石场2009年在南山西侧违法占用林地0.5950公顷，因南山西侧林地上的树木已被毁坏，经调查走访并结合现存树木，当年林木被毁坏时树龄在12年左右。双阳区林业局2009对其进行了处罚，处罚金额7.14万元。</w:t>
            </w:r>
          </w:p>
        </w:tc>
        <w:tc>
          <w:tcPr>
            <w:tcW w:w="1927" w:type="dxa"/>
            <w:vAlign w:val="center"/>
          </w:tcPr>
          <w:p>
            <w:pPr>
              <w:spacing w:line="540" w:lineRule="exact"/>
              <w:rPr>
                <w:rFonts w:hint="default" w:ascii="方正小标宋简体" w:hAnsi="仿宋" w:eastAsia="方正小标宋简体"/>
                <w:sz w:val="44"/>
                <w:szCs w:val="44"/>
                <w:lang w:val="en-US" w:eastAsia="zh-CN"/>
              </w:rPr>
            </w:pPr>
            <w:r>
              <w:rPr>
                <w:rFonts w:hint="eastAsia" w:ascii="仿宋_GB2312" w:hAnsi="仿宋_GB2312" w:eastAsia="仿宋_GB2312" w:cs="仿宋_GB2312"/>
                <w:sz w:val="21"/>
                <w:szCs w:val="21"/>
                <w:lang w:val="en-US" w:eastAsia="zh-CN"/>
              </w:rPr>
              <w:t>2022年12月31日</w:t>
            </w:r>
          </w:p>
        </w:tc>
        <w:tc>
          <w:tcPr>
            <w:tcW w:w="4216"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643"/>
              <w:textAlignment w:val="auto"/>
              <w:rPr>
                <w:rFonts w:eastAsia="仿宋_GB2312" w:cs="仿宋_GB2312"/>
                <w:sz w:val="32"/>
                <w:szCs w:val="32"/>
              </w:rPr>
            </w:pPr>
            <w:r>
              <w:rPr>
                <w:rFonts w:hint="eastAsia" w:ascii="仿宋" w:hAnsi="仿宋" w:eastAsia="仿宋" w:cs="仿宋"/>
                <w:kern w:val="2"/>
                <w:sz w:val="21"/>
                <w:szCs w:val="21"/>
                <w:highlight w:val="none"/>
                <w:lang w:val="en-US" w:eastAsia="zh-CN" w:bidi="ar-SA"/>
              </w:rPr>
              <w:t>长春中材东龙建材有限公司已对具备恢复条件的地块进行了植被恢复，对暂不具备恢复条件的已完成</w:t>
            </w:r>
            <w:r>
              <w:rPr>
                <w:rFonts w:hint="eastAsia" w:ascii="仿宋" w:hAnsi="仿宋" w:eastAsia="仿宋" w:cs="仿宋"/>
                <w:color w:val="auto"/>
                <w:kern w:val="2"/>
                <w:sz w:val="21"/>
                <w:szCs w:val="21"/>
                <w:highlight w:val="none"/>
                <w:lang w:val="en-US" w:eastAsia="zh-CN" w:bidi="ar-SA"/>
              </w:rPr>
              <w:t>《林地植被恢复方案》的制定工作并通过专家论证。</w:t>
            </w:r>
            <w:r>
              <w:rPr>
                <w:rFonts w:hint="eastAsia" w:ascii="仿宋" w:hAnsi="仿宋" w:eastAsia="仿宋" w:cs="仿宋"/>
                <w:kern w:val="2"/>
                <w:sz w:val="21"/>
                <w:szCs w:val="21"/>
                <w:highlight w:val="none"/>
                <w:lang w:val="en-US" w:eastAsia="zh-CN" w:bidi="ar-SA"/>
              </w:rPr>
              <w:t>该企业《采矿许可证》到期时间为2024年5月5日，待到期关闭后督促企业履行恢复治理义务，编制《矿山地质环境治理工程实施方案》，开展全面恢复治理。</w:t>
            </w:r>
          </w:p>
          <w:p>
            <w:pPr>
              <w:pStyle w:val="2"/>
              <w:keepNext w:val="0"/>
              <w:keepLines w:val="0"/>
              <w:pageBreakBefore w:val="0"/>
              <w:widowControl w:val="0"/>
              <w:kinsoku/>
              <w:wordWrap/>
              <w:overflowPunct/>
              <w:topLinePunct w:val="0"/>
              <w:autoSpaceDE/>
              <w:autoSpaceDN/>
              <w:bidi w:val="0"/>
              <w:adjustRightInd/>
              <w:snapToGrid/>
              <w:spacing w:line="240" w:lineRule="auto"/>
              <w:ind w:firstLine="643"/>
              <w:textAlignment w:val="auto"/>
              <w:rPr>
                <w:rFonts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sz w:val="21"/>
                <w:szCs w:val="21"/>
                <w:lang w:val="en-US" w:eastAsia="zh-CN"/>
              </w:rPr>
            </w:pPr>
          </w:p>
        </w:tc>
      </w:tr>
    </w:tbl>
    <w:p/>
    <w:sectPr>
      <w:pgSz w:w="16838" w:h="11906" w:orient="landscape"/>
      <w:pgMar w:top="1531" w:right="1701" w:bottom="1531" w:left="1418" w:header="851" w:footer="85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4Njk1MDEyOGYxYzQ3YjQ2ZDA1YzMwNDhjNzQ2NjYifQ=="/>
  </w:docVars>
  <w:rsids>
    <w:rsidRoot w:val="008E7CC0"/>
    <w:rsid w:val="0002026F"/>
    <w:rsid w:val="007E6DD0"/>
    <w:rsid w:val="008E7CC0"/>
    <w:rsid w:val="00973EE0"/>
    <w:rsid w:val="00B64BF3"/>
    <w:rsid w:val="00BF3F41"/>
    <w:rsid w:val="00F50DB3"/>
    <w:rsid w:val="02C8678C"/>
    <w:rsid w:val="0ADC0F7C"/>
    <w:rsid w:val="0DAD5587"/>
    <w:rsid w:val="0DDB32E6"/>
    <w:rsid w:val="0FB27BD7"/>
    <w:rsid w:val="10307238"/>
    <w:rsid w:val="106E4B7E"/>
    <w:rsid w:val="11885826"/>
    <w:rsid w:val="171D0D4F"/>
    <w:rsid w:val="1B222279"/>
    <w:rsid w:val="1DAD1E0F"/>
    <w:rsid w:val="1DD6535D"/>
    <w:rsid w:val="1F335006"/>
    <w:rsid w:val="233137A5"/>
    <w:rsid w:val="2550347D"/>
    <w:rsid w:val="259B084C"/>
    <w:rsid w:val="268C2457"/>
    <w:rsid w:val="2CF118A6"/>
    <w:rsid w:val="2F115981"/>
    <w:rsid w:val="2F7441D1"/>
    <w:rsid w:val="31925430"/>
    <w:rsid w:val="34401713"/>
    <w:rsid w:val="37F175DF"/>
    <w:rsid w:val="3B427763"/>
    <w:rsid w:val="3F480357"/>
    <w:rsid w:val="42C43A92"/>
    <w:rsid w:val="42EB5C6D"/>
    <w:rsid w:val="439E6DFE"/>
    <w:rsid w:val="45775EEC"/>
    <w:rsid w:val="491B1187"/>
    <w:rsid w:val="4B975060"/>
    <w:rsid w:val="4F117F6D"/>
    <w:rsid w:val="598E694A"/>
    <w:rsid w:val="5B20031B"/>
    <w:rsid w:val="5B2560A5"/>
    <w:rsid w:val="5B344BFF"/>
    <w:rsid w:val="5C584E57"/>
    <w:rsid w:val="67A30F68"/>
    <w:rsid w:val="67D12A46"/>
    <w:rsid w:val="6A2B17DE"/>
    <w:rsid w:val="6AC97D3F"/>
    <w:rsid w:val="714346AA"/>
    <w:rsid w:val="71B5360B"/>
    <w:rsid w:val="78431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style>
  <w:style w:type="paragraph" w:styleId="3">
    <w:name w:val="Body Text Indent"/>
    <w:basedOn w:val="1"/>
    <w:next w:val="4"/>
    <w:unhideWhenUsed/>
    <w:qFormat/>
    <w:uiPriority w:val="99"/>
    <w:pPr>
      <w:ind w:firstLine="560" w:firstLineChars="200"/>
    </w:pPr>
    <w:rPr>
      <w:rFonts w:ascii="Times New Roman" w:hAnsi="Times New Roman"/>
      <w:sz w:val="28"/>
    </w:rPr>
  </w:style>
  <w:style w:type="paragraph" w:styleId="4">
    <w:name w:val="Normal Indent"/>
    <w:basedOn w:val="1"/>
    <w:next w:val="5"/>
    <w:qFormat/>
    <w:uiPriority w:val="0"/>
    <w:pPr>
      <w:ind w:firstLine="420" w:firstLineChars="200"/>
    </w:pPr>
    <w:rPr>
      <w:rFonts w:eastAsia="仿宋"/>
      <w:sz w:val="32"/>
    </w:rPr>
  </w:style>
  <w:style w:type="paragraph" w:styleId="5">
    <w:name w:val="toc 2"/>
    <w:basedOn w:val="1"/>
    <w:next w:val="1"/>
    <w:qFormat/>
    <w:uiPriority w:val="0"/>
    <w:pPr>
      <w:ind w:left="420" w:leftChars="200"/>
    </w:p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10">
    <w:name w:val="List Paragraph"/>
    <w:basedOn w:val="1"/>
    <w:qFormat/>
    <w:uiPriority w:val="34"/>
    <w:pPr>
      <w:ind w:firstLine="420" w:firstLineChars="200"/>
    </w:pPr>
  </w:style>
  <w:style w:type="character" w:customStyle="1" w:styleId="11">
    <w:name w:val="页眉 Char"/>
    <w:basedOn w:val="9"/>
    <w:link w:val="7"/>
    <w:qFormat/>
    <w:uiPriority w:val="0"/>
    <w:rPr>
      <w:rFonts w:ascii="Times New Roman" w:hAnsi="Times New Roman"/>
      <w:kern w:val="2"/>
      <w:sz w:val="18"/>
      <w:szCs w:val="18"/>
    </w:rPr>
  </w:style>
  <w:style w:type="character" w:customStyle="1" w:styleId="12">
    <w:name w:val="页脚 Char"/>
    <w:basedOn w:val="9"/>
    <w:link w:val="6"/>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627</Words>
  <Characters>709</Characters>
  <Lines>13</Lines>
  <Paragraphs>3</Paragraphs>
  <TotalTime>34</TotalTime>
  <ScaleCrop>false</ScaleCrop>
  <LinksUpToDate>false</LinksUpToDate>
  <CharactersWithSpaces>712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2019-08-02T08:09:00Z</dcterms:created>
  <dc:creator>Comix</dc:creator>
  <cp:lastModifiedBy> ꧁༺ൢ潘达ൢ༻꧂ </cp:lastModifiedBy>
  <cp:lastPrinted>2023-06-08T04:18:09Z</cp:lastPrinted>
  <dcterms:modified xsi:type="dcterms:W3CDTF">2023-06-08T04:18:31Z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3444A9AD52374B30AD621BF3AE4FCEF4</vt:lpwstr>
  </property>
</Properties>
</file>