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sz w:val="32"/>
        </w:rPr>
      </w:pPr>
      <w:r>
        <w:rPr>
          <w:rFonts w:hint="eastAsia" w:ascii="黑体" w:hAnsi="黑体" w:eastAsia="黑体"/>
          <w:sz w:val="32"/>
        </w:rPr>
        <w:t>附件</w:t>
      </w:r>
      <w:r>
        <w:rPr>
          <w:rFonts w:hint="eastAsia" w:ascii="黑体" w:hAnsi="黑体" w:eastAsia="黑体"/>
          <w:sz w:val="32"/>
          <w:lang w:val="en-US" w:eastAsia="zh-CN"/>
        </w:rPr>
        <w:t>1</w:t>
      </w:r>
      <w:bookmarkStart w:id="0" w:name="_GoBack"/>
      <w:bookmarkEnd w:id="0"/>
      <w:r>
        <w:rPr>
          <w:rFonts w:hint="eastAsia" w:ascii="黑体" w:hAnsi="黑体" w:eastAsia="黑体"/>
          <w:sz w:val="32"/>
        </w:rPr>
        <w:t>：</w:t>
      </w:r>
    </w:p>
    <w:p>
      <w:pPr>
        <w:spacing w:line="560" w:lineRule="exact"/>
        <w:jc w:val="center"/>
        <w:rPr>
          <w:rFonts w:hint="eastAsia" w:ascii="方正小标宋_GBK" w:hAnsi="宋体" w:eastAsia="方正小标宋_GBK"/>
          <w:sz w:val="44"/>
        </w:rPr>
      </w:pPr>
      <w:r>
        <w:rPr>
          <w:rFonts w:hint="eastAsia" w:ascii="方正小标宋_GBK" w:hAnsi="宋体" w:eastAsia="方正小标宋_GBK"/>
          <w:sz w:val="44"/>
        </w:rPr>
        <w:t>吉林省消防安全重点单位界定标准</w:t>
      </w:r>
    </w:p>
    <w:p>
      <w:pPr>
        <w:pStyle w:val="2"/>
        <w:spacing w:line="560" w:lineRule="exact"/>
        <w:ind w:left="0" w:leftChars="0" w:firstLine="684" w:firstLineChars="214"/>
        <w:rPr>
          <w:rFonts w:hint="eastAsia" w:ascii="黑体" w:eastAsia="黑体"/>
          <w:sz w:val="32"/>
          <w:szCs w:val="32"/>
        </w:rPr>
      </w:pPr>
    </w:p>
    <w:p>
      <w:pPr>
        <w:pStyle w:val="2"/>
        <w:spacing w:line="560" w:lineRule="exact"/>
        <w:ind w:left="0" w:leftChars="0" w:firstLine="684" w:firstLineChars="214"/>
        <w:rPr>
          <w:rFonts w:hint="eastAsia" w:ascii="黑体" w:eastAsia="黑体"/>
          <w:sz w:val="32"/>
          <w:szCs w:val="32"/>
        </w:rPr>
      </w:pPr>
      <w:r>
        <w:rPr>
          <w:rFonts w:hint="eastAsia" w:ascii="黑体" w:eastAsia="黑体"/>
          <w:sz w:val="32"/>
          <w:szCs w:val="32"/>
        </w:rPr>
        <w:t>一、人员密集场所</w:t>
      </w:r>
    </w:p>
    <w:p>
      <w:pPr>
        <w:pStyle w:val="2"/>
        <w:spacing w:line="560" w:lineRule="exact"/>
        <w:ind w:left="0" w:leftChars="0" w:firstLine="685" w:firstLineChars="214"/>
        <w:rPr>
          <w:rFonts w:hint="eastAsia" w:ascii="方正楷体_GBK" w:eastAsia="方正楷体_GBK"/>
          <w:b/>
          <w:sz w:val="32"/>
          <w:szCs w:val="32"/>
        </w:rPr>
      </w:pPr>
      <w:r>
        <w:rPr>
          <w:rFonts w:hint="eastAsia" w:ascii="方正楷体_GBK" w:eastAsia="方正楷体_GBK"/>
          <w:b/>
          <w:sz w:val="32"/>
          <w:szCs w:val="32"/>
        </w:rPr>
        <w:t>（一）公众聚集场所</w:t>
      </w:r>
    </w:p>
    <w:p>
      <w:pPr>
        <w:pStyle w:val="2"/>
        <w:spacing w:line="560" w:lineRule="exact"/>
        <w:ind w:left="0" w:leftChars="0" w:firstLine="684" w:firstLineChars="214"/>
        <w:rPr>
          <w:rFonts w:hint="eastAsia" w:ascii="仿宋_GB2312" w:eastAsia="仿宋_GB2312"/>
          <w:sz w:val="32"/>
          <w:szCs w:val="32"/>
        </w:rPr>
      </w:pPr>
      <w:r>
        <w:rPr>
          <w:rFonts w:hint="eastAsia" w:ascii="仿宋_GB2312" w:eastAsia="仿宋_GB2312"/>
          <w:sz w:val="32"/>
          <w:szCs w:val="32"/>
        </w:rPr>
        <w:t>1、客房40间以上或床位80个以上的宾馆（旅馆、饭店），建筑面积在1000平方米（含本数，下同）以上的餐饮场所；</w:t>
      </w:r>
    </w:p>
    <w:p>
      <w:pPr>
        <w:pStyle w:val="2"/>
        <w:spacing w:line="560" w:lineRule="exact"/>
        <w:ind w:left="0" w:leftChars="0" w:firstLine="684" w:firstLineChars="214"/>
        <w:rPr>
          <w:rFonts w:hint="eastAsia" w:ascii="仿宋_GB2312" w:eastAsia="仿宋_GB2312"/>
          <w:sz w:val="32"/>
          <w:szCs w:val="32"/>
        </w:rPr>
      </w:pPr>
      <w:r>
        <w:rPr>
          <w:rFonts w:hint="eastAsia" w:ascii="仿宋_GB2312" w:eastAsia="仿宋_GB2312"/>
          <w:sz w:val="32"/>
          <w:szCs w:val="32"/>
        </w:rPr>
        <w:t>2、建筑面积在1000平方米以上且经营可燃商品的商场、商店、集贸市场；</w:t>
      </w:r>
    </w:p>
    <w:p>
      <w:pPr>
        <w:pStyle w:val="2"/>
        <w:spacing w:line="560" w:lineRule="exact"/>
        <w:ind w:left="0" w:leftChars="0" w:firstLine="684" w:firstLineChars="214"/>
        <w:rPr>
          <w:rFonts w:hint="eastAsia" w:ascii="仿宋_GB2312" w:eastAsia="仿宋_GB2312"/>
          <w:sz w:val="32"/>
          <w:szCs w:val="32"/>
        </w:rPr>
      </w:pPr>
      <w:r>
        <w:rPr>
          <w:rFonts w:hint="eastAsia" w:ascii="仿宋_GB2312" w:eastAsia="仿宋_GB2312"/>
          <w:sz w:val="32"/>
          <w:szCs w:val="32"/>
        </w:rPr>
        <w:t>3、民用机场航站楼及建筑面积在500平方米以上的客运车站候车室、客运码头候船厅；</w:t>
      </w:r>
    </w:p>
    <w:p>
      <w:pPr>
        <w:pStyle w:val="2"/>
        <w:spacing w:line="560" w:lineRule="exact"/>
        <w:ind w:left="0" w:leftChars="0" w:firstLine="684" w:firstLineChars="214"/>
        <w:rPr>
          <w:rFonts w:hint="eastAsia" w:ascii="仿宋_GB2312" w:eastAsia="仿宋_GB2312"/>
          <w:sz w:val="32"/>
          <w:szCs w:val="32"/>
        </w:rPr>
      </w:pPr>
      <w:r>
        <w:rPr>
          <w:rFonts w:hint="eastAsia" w:ascii="仿宋_GB2312" w:eastAsia="仿宋_GB2312"/>
          <w:sz w:val="32"/>
          <w:szCs w:val="32"/>
        </w:rPr>
        <w:t>4、公共体育场（馆）、会堂、电影（电视）摄影棚；</w:t>
      </w:r>
    </w:p>
    <w:p>
      <w:pPr>
        <w:spacing w:line="560" w:lineRule="exact"/>
        <w:ind w:firstLine="720" w:firstLineChars="225"/>
        <w:rPr>
          <w:rFonts w:hint="eastAsia" w:ascii="仿宋_GB2312" w:eastAsia="仿宋_GB2312"/>
          <w:sz w:val="32"/>
          <w:szCs w:val="32"/>
        </w:rPr>
      </w:pPr>
      <w:r>
        <w:rPr>
          <w:rFonts w:hint="eastAsia" w:ascii="仿宋_GB2312" w:eastAsia="仿宋_GB2312"/>
          <w:sz w:val="32"/>
          <w:szCs w:val="32"/>
        </w:rPr>
        <w:t>5、建筑面积300平方米以上的公共娱乐场所：</w:t>
      </w:r>
    </w:p>
    <w:p>
      <w:pPr>
        <w:pStyle w:val="2"/>
        <w:spacing w:line="560" w:lineRule="exact"/>
        <w:ind w:left="0" w:leftChars="0" w:firstLine="684" w:firstLineChars="214"/>
        <w:rPr>
          <w:rFonts w:hint="eastAsia" w:ascii="仿宋_GB2312" w:eastAsia="仿宋_GB2312"/>
          <w:sz w:val="32"/>
          <w:szCs w:val="32"/>
        </w:rPr>
      </w:pPr>
      <w:r>
        <w:rPr>
          <w:rFonts w:hint="eastAsia" w:ascii="仿宋_GB2312" w:eastAsia="仿宋_GB2312"/>
          <w:sz w:val="32"/>
          <w:szCs w:val="32"/>
        </w:rPr>
        <w:t>(１)影剧院、录像厅、礼堂等演出、放映场所；</w:t>
      </w:r>
    </w:p>
    <w:p>
      <w:pPr>
        <w:pStyle w:val="2"/>
        <w:spacing w:line="560" w:lineRule="exact"/>
        <w:ind w:left="0" w:leftChars="0" w:firstLine="684" w:firstLineChars="214"/>
        <w:rPr>
          <w:rFonts w:hint="eastAsia" w:ascii="仿宋_GB2312" w:eastAsia="仿宋_GB2312"/>
          <w:sz w:val="32"/>
          <w:szCs w:val="32"/>
        </w:rPr>
      </w:pPr>
      <w:r>
        <w:rPr>
          <w:rFonts w:hint="eastAsia" w:ascii="仿宋_GB2312" w:eastAsia="仿宋_GB2312"/>
          <w:sz w:val="32"/>
          <w:szCs w:val="32"/>
        </w:rPr>
        <w:t>(２)舞厅、卡拉ＯＫ厅等歌舞娱乐场所；</w:t>
      </w:r>
    </w:p>
    <w:p>
      <w:pPr>
        <w:pStyle w:val="2"/>
        <w:spacing w:line="560" w:lineRule="exact"/>
        <w:ind w:left="0" w:leftChars="0" w:firstLine="684" w:firstLineChars="214"/>
        <w:rPr>
          <w:rFonts w:hint="eastAsia" w:ascii="仿宋_GB2312" w:eastAsia="仿宋_GB2312"/>
          <w:sz w:val="32"/>
          <w:szCs w:val="32"/>
        </w:rPr>
      </w:pPr>
      <w:r>
        <w:rPr>
          <w:rFonts w:hint="eastAsia" w:ascii="仿宋_GB2312" w:eastAsia="仿宋_GB2312"/>
          <w:sz w:val="32"/>
          <w:szCs w:val="32"/>
        </w:rPr>
        <w:t>(３)具有娱乐功能的夜总会、音乐茶座和餐饮场所；</w:t>
      </w:r>
    </w:p>
    <w:p>
      <w:pPr>
        <w:pStyle w:val="2"/>
        <w:spacing w:line="560" w:lineRule="exact"/>
        <w:ind w:left="0" w:leftChars="0" w:firstLine="684" w:firstLineChars="214"/>
        <w:rPr>
          <w:rFonts w:hint="eastAsia" w:ascii="仿宋_GB2312" w:eastAsia="仿宋_GB2312"/>
          <w:sz w:val="32"/>
          <w:szCs w:val="32"/>
        </w:rPr>
      </w:pPr>
      <w:r>
        <w:rPr>
          <w:rFonts w:hint="eastAsia" w:ascii="仿宋_GB2312" w:eastAsia="仿宋_GB2312"/>
          <w:sz w:val="32"/>
          <w:szCs w:val="32"/>
        </w:rPr>
        <w:t>(４)游艺、网吧、游乐场所；</w:t>
      </w:r>
    </w:p>
    <w:p>
      <w:pPr>
        <w:pStyle w:val="2"/>
        <w:spacing w:line="560" w:lineRule="exact"/>
        <w:ind w:left="0" w:leftChars="0" w:firstLine="684" w:firstLineChars="214"/>
        <w:rPr>
          <w:rFonts w:hint="eastAsia" w:ascii="仿宋_GB2312" w:eastAsia="仿宋_GB2312"/>
          <w:sz w:val="32"/>
          <w:szCs w:val="32"/>
        </w:rPr>
      </w:pPr>
      <w:r>
        <w:rPr>
          <w:rFonts w:hint="eastAsia" w:ascii="仿宋_GB2312" w:eastAsia="仿宋_GB2312"/>
          <w:sz w:val="32"/>
          <w:szCs w:val="32"/>
        </w:rPr>
        <w:t>(５)保龄球馆、旱冰场、桑拿浴室等营业性健身、休闲场所。</w:t>
      </w:r>
    </w:p>
    <w:p>
      <w:pPr>
        <w:pStyle w:val="2"/>
        <w:spacing w:line="560" w:lineRule="exact"/>
        <w:ind w:left="0" w:leftChars="0" w:firstLine="685" w:firstLineChars="214"/>
        <w:rPr>
          <w:rFonts w:hint="eastAsia" w:ascii="方正楷体_GBK" w:eastAsia="方正楷体_GBK"/>
          <w:b/>
          <w:sz w:val="32"/>
          <w:szCs w:val="32"/>
        </w:rPr>
      </w:pPr>
      <w:r>
        <w:rPr>
          <w:rFonts w:hint="eastAsia" w:ascii="方正楷体_GBK" w:eastAsia="方正楷体_GBK"/>
          <w:b/>
          <w:sz w:val="32"/>
          <w:szCs w:val="32"/>
        </w:rPr>
        <w:t>（二）医院、学校</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1、住院床位在50张以上的医院、卫生（院）所；</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2、在校师生总人数2000人以上或学生住宿床位在100张以上的学校；</w:t>
      </w:r>
    </w:p>
    <w:p>
      <w:pPr>
        <w:pStyle w:val="2"/>
        <w:spacing w:line="560" w:lineRule="exact"/>
        <w:ind w:left="0" w:leftChars="0" w:firstLine="685" w:firstLineChars="214"/>
        <w:rPr>
          <w:rFonts w:hint="eastAsia" w:ascii="方正楷体_GBK" w:eastAsia="方正楷体_GBK"/>
          <w:b/>
          <w:sz w:val="32"/>
          <w:szCs w:val="32"/>
        </w:rPr>
      </w:pPr>
      <w:r>
        <w:rPr>
          <w:rFonts w:hint="eastAsia" w:ascii="方正楷体_GBK" w:eastAsia="方正楷体_GBK"/>
          <w:b/>
          <w:sz w:val="32"/>
          <w:szCs w:val="32"/>
        </w:rPr>
        <w:t>（三）养老院（敬老院）、福利院、托儿所、幼儿园</w:t>
      </w:r>
    </w:p>
    <w:p>
      <w:pPr>
        <w:spacing w:line="560" w:lineRule="exact"/>
        <w:ind w:firstLine="640" w:firstLineChars="200"/>
        <w:rPr>
          <w:rFonts w:hint="eastAsia" w:ascii="仿宋_GB2312" w:eastAsia="仿宋_GB2312"/>
          <w:b/>
          <w:sz w:val="32"/>
          <w:szCs w:val="32"/>
        </w:rPr>
      </w:pPr>
      <w:r>
        <w:rPr>
          <w:rFonts w:hint="eastAsia" w:ascii="仿宋_GB2312" w:eastAsia="仿宋_GB2312"/>
          <w:sz w:val="32"/>
          <w:szCs w:val="32"/>
        </w:rPr>
        <w:t>1、老人住宿床位在50张以上的养老院（敬老院）、福利院；</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2、幼儿人数100人以上或幼儿住宿床位在40张以上的托儿所、幼儿园。</w:t>
      </w:r>
    </w:p>
    <w:p>
      <w:pPr>
        <w:pStyle w:val="2"/>
        <w:spacing w:line="560" w:lineRule="exact"/>
        <w:ind w:left="0" w:leftChars="0" w:firstLine="685" w:firstLineChars="214"/>
        <w:rPr>
          <w:rFonts w:hint="eastAsia" w:ascii="方正楷体_GBK" w:eastAsia="方正楷体_GBK"/>
          <w:b/>
          <w:sz w:val="32"/>
          <w:szCs w:val="32"/>
        </w:rPr>
      </w:pPr>
      <w:r>
        <w:rPr>
          <w:rFonts w:hint="eastAsia" w:ascii="方正楷体_GBK" w:eastAsia="方正楷体_GBK"/>
          <w:b/>
          <w:sz w:val="32"/>
          <w:szCs w:val="32"/>
        </w:rPr>
        <w:t>（四）公共图书馆、展览馆、博物馆、档案馆以及具有火灾危险性的文物保护单位</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1、建筑面积在2000平方米以上的公共图书馆、展览馆、会展中心；</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2、博物馆、档案馆；</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3、市级以上文物保护单位。</w:t>
      </w:r>
    </w:p>
    <w:p>
      <w:pPr>
        <w:pStyle w:val="2"/>
        <w:spacing w:line="560" w:lineRule="exact"/>
        <w:ind w:left="0" w:leftChars="0" w:firstLine="685" w:firstLineChars="214"/>
        <w:rPr>
          <w:rFonts w:hint="eastAsia" w:ascii="方正楷体_GBK" w:eastAsia="方正楷体_GBK"/>
          <w:b/>
          <w:sz w:val="32"/>
          <w:szCs w:val="32"/>
        </w:rPr>
      </w:pPr>
      <w:r>
        <w:rPr>
          <w:rFonts w:hint="eastAsia" w:ascii="方正楷体_GBK" w:eastAsia="方正楷体_GBK"/>
          <w:b/>
          <w:sz w:val="32"/>
          <w:szCs w:val="32"/>
        </w:rPr>
        <w:t>（五）劳动密集型生产、加工企业</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生产车间员工100人以上或员工宿舍居住人数100人以上的服装、皮革、家具、玩具、塑料、纺织、印染、印刷、绒绣、刺绣、食品加工和日用百货及工艺品生产等劳动密集型企业。</w:t>
      </w:r>
    </w:p>
    <w:p>
      <w:pPr>
        <w:pStyle w:val="2"/>
        <w:spacing w:line="560" w:lineRule="exact"/>
        <w:ind w:left="0" w:leftChars="0" w:firstLine="685" w:firstLineChars="214"/>
        <w:rPr>
          <w:rFonts w:hint="eastAsia" w:ascii="方正楷体_GBK" w:eastAsia="方正楷体_GBK"/>
          <w:b/>
          <w:sz w:val="32"/>
          <w:szCs w:val="32"/>
        </w:rPr>
      </w:pPr>
      <w:r>
        <w:rPr>
          <w:rFonts w:hint="eastAsia" w:ascii="方正楷体_GBK" w:eastAsia="方正楷体_GBK"/>
          <w:b/>
          <w:sz w:val="32"/>
          <w:szCs w:val="32"/>
        </w:rPr>
        <w:t>（六）旅游、宗教活动场所</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发生火灾可能性较大以及一旦发生火灾可能造成人身重大伤亡或者财产重大损失的旅游场所和总建筑面积500平方米以上的宗教活动场所。</w:t>
      </w:r>
    </w:p>
    <w:p>
      <w:pPr>
        <w:spacing w:line="560" w:lineRule="exact"/>
        <w:ind w:firstLine="640" w:firstLineChars="200"/>
        <w:rPr>
          <w:rFonts w:hint="eastAsia" w:ascii="黑体" w:eastAsia="黑体"/>
          <w:sz w:val="32"/>
          <w:szCs w:val="32"/>
        </w:rPr>
      </w:pPr>
      <w:r>
        <w:rPr>
          <w:rFonts w:hint="eastAsia" w:ascii="黑体" w:eastAsia="黑体"/>
          <w:sz w:val="32"/>
          <w:szCs w:val="32"/>
        </w:rPr>
        <w:t>二、国家机关</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1、县级以上的党委、人大、政府、政协、市州级以上经济(技术)开发区管委会；</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2、县级以上人民检察院、人民法院；</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3、在政府办公楼（院）外独立设置的市级以上政府工作部门；</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4、市州级以上共青团、工会、妇联。</w:t>
      </w:r>
    </w:p>
    <w:p>
      <w:pPr>
        <w:spacing w:line="560" w:lineRule="exact"/>
        <w:ind w:firstLine="640" w:firstLineChars="200"/>
        <w:rPr>
          <w:rFonts w:hint="eastAsia" w:ascii="黑体" w:eastAsia="黑体"/>
          <w:sz w:val="32"/>
          <w:szCs w:val="32"/>
        </w:rPr>
      </w:pPr>
      <w:r>
        <w:rPr>
          <w:rFonts w:hint="eastAsia" w:ascii="黑体" w:eastAsia="黑体"/>
          <w:sz w:val="32"/>
          <w:szCs w:val="32"/>
        </w:rPr>
        <w:t>三、广播电台、电视台和邮政、通信枢纽</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1、县级以上的广播电台、电视台、报社；</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2、邮政和通信枢纽单位；</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3、大中型电子计算机网站单位。</w:t>
      </w:r>
    </w:p>
    <w:p>
      <w:pPr>
        <w:spacing w:line="560" w:lineRule="exact"/>
        <w:ind w:firstLine="640" w:firstLineChars="200"/>
        <w:rPr>
          <w:rFonts w:hint="eastAsia" w:ascii="黑体" w:eastAsia="黑体"/>
          <w:sz w:val="32"/>
          <w:szCs w:val="32"/>
        </w:rPr>
      </w:pPr>
      <w:r>
        <w:rPr>
          <w:rFonts w:hint="eastAsia" w:ascii="黑体" w:eastAsia="黑体"/>
          <w:sz w:val="32"/>
          <w:szCs w:val="32"/>
        </w:rPr>
        <w:t>四、发电厂（站）和电网经营企业</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1、发电厂、站；</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2、一、二级送变电站；</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3、市级以上电力调度楼；</w:t>
      </w:r>
    </w:p>
    <w:p>
      <w:pPr>
        <w:spacing w:line="560" w:lineRule="exact"/>
        <w:ind w:firstLine="640" w:firstLineChars="200"/>
        <w:rPr>
          <w:rFonts w:hint="eastAsia" w:ascii="黑体" w:eastAsia="黑体"/>
          <w:sz w:val="32"/>
          <w:szCs w:val="32"/>
        </w:rPr>
      </w:pPr>
      <w:r>
        <w:rPr>
          <w:rFonts w:hint="eastAsia" w:ascii="黑体" w:eastAsia="黑体"/>
          <w:sz w:val="32"/>
          <w:szCs w:val="32"/>
        </w:rPr>
        <w:t>五、易燃易爆危险品的生产、储存、装卸、供应、销售单位</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1、生产易燃易爆危险品的工厂；</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2、易燃易爆气体和液体的灌装站、调压站；</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3、储存易燃易爆危险品的专用仓库（堆场、储罐场所）；</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4、易燃易爆危险品的专业运输单位；</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5、汽车加油站、加气站，液化石油气供应站；</w:t>
      </w:r>
    </w:p>
    <w:p>
      <w:pPr>
        <w:spacing w:line="560" w:lineRule="exact"/>
        <w:ind w:firstLine="640" w:firstLineChars="200"/>
        <w:rPr>
          <w:rFonts w:hint="eastAsia" w:ascii="黑体" w:eastAsia="黑体"/>
          <w:sz w:val="32"/>
          <w:szCs w:val="32"/>
        </w:rPr>
      </w:pPr>
      <w:r>
        <w:rPr>
          <w:rFonts w:hint="eastAsia" w:ascii="黑体" w:eastAsia="黑体"/>
          <w:sz w:val="32"/>
          <w:szCs w:val="32"/>
        </w:rPr>
        <w:t>六、重要的科研单位</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1、国家和省级、市级科研单位；</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2、负责国家重点科研项目的科研单位；</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3、设备价值超过1000万元以上的科研单位；</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4、科研试验中具有火灾爆炸危险性的科研单位；</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5、储存甲、乙类易燃易爆化学危险品超过200公斤的科研单位。</w:t>
      </w:r>
    </w:p>
    <w:p>
      <w:pPr>
        <w:pStyle w:val="2"/>
        <w:spacing w:line="560" w:lineRule="exact"/>
        <w:ind w:left="0" w:leftChars="0" w:firstLine="684" w:firstLineChars="214"/>
        <w:rPr>
          <w:rFonts w:hint="eastAsia" w:ascii="黑体" w:eastAsia="黑体"/>
          <w:sz w:val="32"/>
          <w:szCs w:val="32"/>
        </w:rPr>
      </w:pPr>
      <w:r>
        <w:rPr>
          <w:rFonts w:hint="eastAsia" w:ascii="黑体" w:eastAsia="黑体"/>
          <w:sz w:val="32"/>
          <w:szCs w:val="32"/>
        </w:rPr>
        <w:t>七、高层公共建筑、地下铁道、地下观光隧道，粮、棉、木材、百货等物资仓库和堆场</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1、高层公共建筑的办公楼（写字楼）、公寓楼等；</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2、平战结合地下人防工程；</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3、城市地下铁道、地下观光隧道、轻型快速轨道等地下公共建筑和城市重要的交通隧道；</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4、国家储备粮库和总储量在10000吨以上的其他粮库；</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5、年加工10万吨以上的粮食加工企业；</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6、总储量500吨以上的棉库；</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7、总储量在10000立方米以上的木材堆场；</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8、总储存价值500万元以上的仓储超市、可燃物品仓库、堆场；</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9、国家和省级重点工程的施工工地。</w:t>
      </w:r>
    </w:p>
    <w:p>
      <w:pPr>
        <w:pStyle w:val="2"/>
        <w:spacing w:line="560" w:lineRule="exact"/>
        <w:ind w:left="0" w:leftChars="0" w:firstLine="684" w:firstLineChars="214"/>
        <w:rPr>
          <w:rFonts w:hint="eastAsia" w:ascii="黑体" w:eastAsia="黑体"/>
          <w:sz w:val="32"/>
          <w:szCs w:val="32"/>
        </w:rPr>
      </w:pPr>
      <w:r>
        <w:rPr>
          <w:rFonts w:hint="eastAsia" w:ascii="黑体" w:eastAsia="黑体"/>
          <w:sz w:val="32"/>
          <w:szCs w:val="32"/>
        </w:rPr>
        <w:t>八、其他发生火灾可能性较大以及一旦发生火灾可能造成人身重大伤亡或者财产重大损失的单位</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1、固定资产（建筑、设备、原材料等）价值在5000万元以上的电子、机械、汽车、客车、机车、钢铁、造船、烟草、航空、航天、民航、医药、造纸、纺织、木器、建筑等企业；</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2、支行级以上的银行和营业面积在500平方米以上的银行分理处；</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3、营业总面积在500平方米以上的证券、期货交易场所。</w:t>
      </w:r>
    </w:p>
    <w:p>
      <w:pPr>
        <w:spacing w:line="560" w:lineRule="exact"/>
        <w:ind w:firstLine="640" w:firstLineChars="200"/>
        <w:rPr>
          <w:rFonts w:hint="eastAsia" w:ascii="仿宋_GB2312" w:eastAsia="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74C8A78-43BE-4BB5-AB18-60E07A81CDD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F1679536-577C-4525-A28D-53FC6997C995}"/>
  </w:font>
  <w:font w:name="Lucida Sans Unicode">
    <w:panose1 w:val="020B0602030504020204"/>
    <w:charset w:val="00"/>
    <w:family w:val="swiss"/>
    <w:pitch w:val="default"/>
    <w:sig w:usb0="80001AFF" w:usb1="0000396B" w:usb2="00000000" w:usb3="00000000" w:csb0="200000BF" w:csb1="D7F70000"/>
  </w:font>
  <w:font w:name="方正小标宋_GBK">
    <w:panose1 w:val="02000000000000000000"/>
    <w:charset w:val="86"/>
    <w:family w:val="script"/>
    <w:pitch w:val="default"/>
    <w:sig w:usb0="A00002BF" w:usb1="38CF7CFA" w:usb2="00082016" w:usb3="00000000" w:csb0="00040001" w:csb1="00000000"/>
    <w:embedRegular r:id="rId3" w:fontKey="{2B60D235-3171-4789-90B0-CCFD592D374F}"/>
  </w:font>
  <w:font w:name="方正楷体_GBK">
    <w:altName w:val="微软雅黑"/>
    <w:panose1 w:val="03000509000000000000"/>
    <w:charset w:val="86"/>
    <w:family w:val="script"/>
    <w:pitch w:val="default"/>
    <w:sig w:usb0="00000000" w:usb1="00000000" w:usb2="00000000" w:usb3="00000000" w:csb0="00040000" w:csb1="00000000"/>
    <w:embedRegular r:id="rId4" w:fontKey="{F01BE373-A8EF-4C5A-A004-C625E55F52E9}"/>
  </w:font>
  <w:font w:name="仿宋_GB2312">
    <w:altName w:val="仿宋"/>
    <w:panose1 w:val="02010609030101010101"/>
    <w:charset w:val="86"/>
    <w:family w:val="modern"/>
    <w:pitch w:val="default"/>
    <w:sig w:usb0="00000000" w:usb1="00000000" w:usb2="00000000" w:usb3="00000000" w:csb0="00040000" w:csb1="00000000"/>
    <w:embedRegular r:id="rId5" w:fontKey="{8384C790-4FE6-4999-9635-D2FBE28B1D3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FhMjZhMzlmMjNkYTYyMjZmZGNkZmI5YzhkZjM3N2IifQ=="/>
  </w:docVars>
  <w:rsids>
    <w:rsidRoot w:val="7E376691"/>
    <w:rsid w:val="04C449CA"/>
    <w:rsid w:val="7E3766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Indent"/>
    <w:basedOn w:val="1"/>
    <w:uiPriority w:val="0"/>
    <w:pPr>
      <w:spacing w:line="360" w:lineRule="auto"/>
      <w:ind w:left="899" w:leftChars="172" w:hanging="538" w:hangingChars="256"/>
    </w:pPr>
    <w:rPr>
      <w:rFonts w:ascii="宋体" w:hAnsi="Lucida Sans Unicode"/>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1557</Words>
  <Characters>1613</Characters>
  <Lines>0</Lines>
  <Paragraphs>0</Paragraphs>
  <TotalTime>0</TotalTime>
  <ScaleCrop>false</ScaleCrop>
  <LinksUpToDate>false</LinksUpToDate>
  <CharactersWithSpaces>1613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2023-03-07T05:11:00Z</dcterms:created>
  <dc:creator>Tang☀️☘</dc:creator>
  <cp:lastModifiedBy>Tang☀️☘</cp:lastModifiedBy>
  <dcterms:modified xsi:type="dcterms:W3CDTF">2023-03-07T05:14:25Z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5A8F2175573F44C38A92ACF0BC311B68</vt:lpwstr>
  </property>
</Properties>
</file>