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4840" w:hanging="4840" w:hangingChars="1100"/>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双阳区关于</w:t>
      </w:r>
      <w:r>
        <w:rPr>
          <w:rFonts w:hint="eastAsia" w:ascii="方正小标宋简体" w:hAnsi="仿宋" w:eastAsia="方正小标宋简体"/>
          <w:sz w:val="44"/>
          <w:szCs w:val="44"/>
          <w:lang w:eastAsia="zh-CN"/>
        </w:rPr>
        <w:t>第二轮中央生态环境保护督察</w:t>
      </w:r>
      <w:r>
        <w:rPr>
          <w:rFonts w:hint="eastAsia" w:ascii="方正小标宋简体" w:hAnsi="仿宋" w:eastAsia="方正小标宋简体"/>
          <w:sz w:val="44"/>
          <w:szCs w:val="44"/>
        </w:rPr>
        <w:t>信访案件</w:t>
      </w:r>
    </w:p>
    <w:p>
      <w:pPr>
        <w:spacing w:line="540" w:lineRule="exact"/>
        <w:ind w:left="4840" w:hanging="4840" w:hangingChars="1100"/>
        <w:jc w:val="center"/>
        <w:rPr>
          <w:rFonts w:hint="eastAsia" w:ascii="仿宋_GB2312" w:hAnsi="仿宋_GB2312" w:eastAsia="仿宋_GB2312" w:cs="仿宋_GB2312"/>
          <w:sz w:val="44"/>
          <w:szCs w:val="44"/>
        </w:rPr>
      </w:pPr>
      <w:r>
        <w:rPr>
          <w:rFonts w:hint="eastAsia" w:ascii="方正小标宋简体" w:hAnsi="仿宋" w:eastAsia="方正小标宋简体"/>
          <w:sz w:val="44"/>
          <w:szCs w:val="44"/>
          <w:lang w:eastAsia="zh-CN"/>
        </w:rPr>
        <w:t>（省内编号</w:t>
      </w:r>
      <w:r>
        <w:rPr>
          <w:rFonts w:hint="eastAsia" w:ascii="方正小标宋简体" w:hAnsi="仿宋" w:eastAsia="方正小标宋简体"/>
          <w:sz w:val="44"/>
          <w:szCs w:val="44"/>
          <w:lang w:val="en-US" w:eastAsia="zh-CN"/>
        </w:rPr>
        <w:t>3373</w:t>
      </w:r>
      <w:r>
        <w:rPr>
          <w:rFonts w:hint="eastAsia" w:ascii="方正小标宋简体" w:hAnsi="仿宋" w:eastAsia="方正小标宋简体"/>
          <w:sz w:val="44"/>
          <w:szCs w:val="44"/>
          <w:lang w:eastAsia="zh-CN"/>
        </w:rPr>
        <w:t>）</w:t>
      </w:r>
      <w:r>
        <w:rPr>
          <w:rFonts w:hint="eastAsia" w:ascii="方正小标宋简体" w:hAnsi="仿宋" w:eastAsia="方正小标宋简体"/>
          <w:sz w:val="44"/>
          <w:szCs w:val="44"/>
        </w:rPr>
        <w:t>完成情况公示表</w:t>
      </w:r>
    </w:p>
    <w:p>
      <w:pPr>
        <w:tabs>
          <w:tab w:val="left" w:pos="657"/>
        </w:tabs>
        <w:jc w:val="left"/>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969"/>
        <w:gridCol w:w="5072"/>
        <w:gridCol w:w="5196"/>
        <w:gridCol w:w="1541"/>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589" w:type="dxa"/>
            <w:vAlign w:val="center"/>
          </w:tcPr>
          <w:p>
            <w:pPr>
              <w:keepNext w:val="0"/>
              <w:keepLines w:val="0"/>
              <w:widowControl/>
              <w:suppressLineNumbers w:val="0"/>
              <w:jc w:val="center"/>
              <w:textAlignment w:val="center"/>
              <w:rPr>
                <w:rFonts w:hint="eastAsia" w:ascii="宋体" w:hAnsi="宋体" w:eastAsia="宋体" w:cs="宋体"/>
                <w:sz w:val="18"/>
                <w:szCs w:val="18"/>
                <w:vertAlign w:val="baseline"/>
              </w:rPr>
            </w:pPr>
            <w:r>
              <w:rPr>
                <w:rFonts w:hint="eastAsia" w:ascii="宋体" w:hAnsi="宋体" w:eastAsia="宋体" w:cs="宋体"/>
                <w:b/>
                <w:bCs/>
                <w:i w:val="0"/>
                <w:iCs w:val="0"/>
                <w:color w:val="000000"/>
                <w:kern w:val="0"/>
                <w:sz w:val="18"/>
                <w:szCs w:val="18"/>
                <w:u w:val="none"/>
                <w:lang w:val="en-US" w:eastAsia="zh-CN" w:bidi="ar"/>
              </w:rPr>
              <w:t>案件</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编号</w:t>
            </w:r>
          </w:p>
        </w:tc>
        <w:tc>
          <w:tcPr>
            <w:tcW w:w="969" w:type="dxa"/>
            <w:vAlign w:val="center"/>
          </w:tcPr>
          <w:p>
            <w:pPr>
              <w:keepNext w:val="0"/>
              <w:keepLines w:val="0"/>
              <w:widowControl/>
              <w:suppressLineNumbers w:val="0"/>
              <w:jc w:val="center"/>
              <w:textAlignment w:val="center"/>
              <w:rPr>
                <w:rFonts w:hint="eastAsia" w:ascii="宋体" w:hAnsi="宋体" w:eastAsia="宋体" w:cs="宋体"/>
                <w:sz w:val="18"/>
                <w:szCs w:val="18"/>
                <w:vertAlign w:val="baseline"/>
              </w:rPr>
            </w:pPr>
            <w:r>
              <w:rPr>
                <w:rFonts w:hint="eastAsia" w:ascii="宋体" w:hAnsi="宋体" w:eastAsia="宋体" w:cs="宋体"/>
                <w:b/>
                <w:bCs/>
                <w:i w:val="0"/>
                <w:iCs w:val="0"/>
                <w:color w:val="000000"/>
                <w:kern w:val="0"/>
                <w:sz w:val="18"/>
                <w:szCs w:val="18"/>
                <w:u w:val="none"/>
                <w:lang w:val="en-US" w:eastAsia="zh-CN" w:bidi="ar"/>
              </w:rPr>
              <w:t>交办问题基本情况</w:t>
            </w:r>
          </w:p>
        </w:tc>
        <w:tc>
          <w:tcPr>
            <w:tcW w:w="5072" w:type="dxa"/>
            <w:vAlign w:val="center"/>
          </w:tcPr>
          <w:p>
            <w:pPr>
              <w:keepNext w:val="0"/>
              <w:keepLines w:val="0"/>
              <w:widowControl/>
              <w:suppressLineNumbers w:val="0"/>
              <w:jc w:val="center"/>
              <w:textAlignment w:val="center"/>
              <w:rPr>
                <w:rFonts w:hint="eastAsia" w:ascii="宋体" w:hAnsi="宋体" w:eastAsia="宋体" w:cs="宋体"/>
                <w:sz w:val="18"/>
                <w:szCs w:val="18"/>
                <w:vertAlign w:val="baseline"/>
              </w:rPr>
            </w:pPr>
            <w:r>
              <w:rPr>
                <w:rFonts w:hint="eastAsia" w:ascii="宋体" w:hAnsi="宋体" w:eastAsia="宋体" w:cs="宋体"/>
                <w:b/>
                <w:bCs/>
                <w:i w:val="0"/>
                <w:iCs w:val="0"/>
                <w:color w:val="000000"/>
                <w:kern w:val="0"/>
                <w:sz w:val="18"/>
                <w:szCs w:val="18"/>
                <w:u w:val="none"/>
                <w:lang w:val="en-US" w:eastAsia="zh-CN" w:bidi="ar"/>
              </w:rPr>
              <w:t>调查处理情况</w:t>
            </w:r>
          </w:p>
        </w:tc>
        <w:tc>
          <w:tcPr>
            <w:tcW w:w="5196" w:type="dxa"/>
            <w:vAlign w:val="center"/>
          </w:tcPr>
          <w:p>
            <w:pPr>
              <w:keepNext w:val="0"/>
              <w:keepLines w:val="0"/>
              <w:widowControl/>
              <w:suppressLineNumbers w:val="0"/>
              <w:jc w:val="center"/>
              <w:textAlignment w:val="center"/>
              <w:rPr>
                <w:rFonts w:hint="eastAsia" w:ascii="宋体" w:hAnsi="宋体" w:eastAsia="宋体" w:cs="宋体"/>
                <w:sz w:val="18"/>
                <w:szCs w:val="18"/>
                <w:vertAlign w:val="baseline"/>
              </w:rPr>
            </w:pPr>
            <w:r>
              <w:rPr>
                <w:rFonts w:hint="eastAsia" w:ascii="宋体" w:hAnsi="宋体" w:eastAsia="宋体" w:cs="宋体"/>
                <w:b/>
                <w:bCs/>
                <w:i w:val="0"/>
                <w:iCs w:val="0"/>
                <w:color w:val="000000"/>
                <w:kern w:val="0"/>
                <w:sz w:val="18"/>
                <w:szCs w:val="18"/>
                <w:u w:val="none"/>
                <w:lang w:val="en-US" w:eastAsia="zh-CN" w:bidi="ar"/>
              </w:rPr>
              <w:t>公开处理和整改情况</w:t>
            </w:r>
          </w:p>
        </w:tc>
        <w:tc>
          <w:tcPr>
            <w:tcW w:w="1541" w:type="dxa"/>
            <w:vAlign w:val="center"/>
          </w:tcPr>
          <w:p>
            <w:pPr>
              <w:keepNext w:val="0"/>
              <w:keepLines w:val="0"/>
              <w:widowControl/>
              <w:suppressLineNumbers w:val="0"/>
              <w:jc w:val="center"/>
              <w:textAlignment w:val="center"/>
              <w:rPr>
                <w:rFonts w:hint="eastAsia" w:ascii="宋体" w:hAnsi="宋体" w:eastAsia="宋体" w:cs="宋体"/>
                <w:sz w:val="18"/>
                <w:szCs w:val="18"/>
                <w:vertAlign w:val="baseline"/>
              </w:rPr>
            </w:pPr>
            <w:r>
              <w:rPr>
                <w:rFonts w:hint="eastAsia" w:ascii="宋体" w:hAnsi="宋体" w:eastAsia="宋体" w:cs="宋体"/>
                <w:b/>
                <w:bCs/>
                <w:i w:val="0"/>
                <w:iCs w:val="0"/>
                <w:color w:val="000000"/>
                <w:kern w:val="0"/>
                <w:sz w:val="18"/>
                <w:szCs w:val="18"/>
                <w:u w:val="none"/>
                <w:lang w:val="en-US" w:eastAsia="zh-CN" w:bidi="ar"/>
              </w:rPr>
              <w:t>整改完成情况</w:t>
            </w:r>
          </w:p>
        </w:tc>
        <w:tc>
          <w:tcPr>
            <w:tcW w:w="807" w:type="dxa"/>
            <w:vAlign w:val="center"/>
          </w:tcPr>
          <w:p>
            <w:pPr>
              <w:keepNext w:val="0"/>
              <w:keepLines w:val="0"/>
              <w:widowControl/>
              <w:suppressLineNumbers w:val="0"/>
              <w:jc w:val="center"/>
              <w:textAlignment w:val="center"/>
              <w:rPr>
                <w:rFonts w:hint="eastAsia" w:ascii="宋体" w:hAnsi="宋体" w:eastAsia="宋体" w:cs="宋体"/>
                <w:sz w:val="18"/>
                <w:szCs w:val="18"/>
                <w:vertAlign w:val="baseline"/>
              </w:rPr>
            </w:pPr>
            <w:r>
              <w:rPr>
                <w:rFonts w:hint="eastAsia" w:ascii="宋体" w:hAnsi="宋体" w:eastAsia="宋体" w:cs="宋体"/>
                <w:b/>
                <w:bCs/>
                <w:i w:val="0"/>
                <w:iCs w:val="0"/>
                <w:color w:val="000000"/>
                <w:kern w:val="0"/>
                <w:sz w:val="18"/>
                <w:szCs w:val="18"/>
                <w:u w:val="none"/>
                <w:lang w:val="en-US" w:eastAsia="zh-CN"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keepNext w:val="0"/>
              <w:keepLines w:val="0"/>
              <w:widowControl/>
              <w:suppressLineNumbers w:val="0"/>
              <w:jc w:val="center"/>
              <w:textAlignment w:val="center"/>
              <w:rPr>
                <w:rFonts w:hint="eastAsia" w:ascii="仿宋" w:hAnsi="仿宋" w:eastAsia="仿宋" w:cs="仿宋"/>
                <w:sz w:val="15"/>
                <w:szCs w:val="15"/>
                <w:vertAlign w:val="baseline"/>
                <w:lang w:val="en-US"/>
              </w:rPr>
            </w:pPr>
            <w:r>
              <w:rPr>
                <w:rFonts w:hint="eastAsia" w:ascii="仿宋" w:hAnsi="仿宋" w:eastAsia="仿宋" w:cs="仿宋"/>
                <w:i w:val="0"/>
                <w:iCs w:val="0"/>
                <w:color w:val="000000"/>
                <w:kern w:val="0"/>
                <w:sz w:val="15"/>
                <w:szCs w:val="15"/>
                <w:u w:val="none"/>
                <w:lang w:val="en-US" w:eastAsia="zh-CN" w:bidi="ar"/>
              </w:rPr>
              <w:t>3733</w:t>
            </w:r>
          </w:p>
        </w:tc>
        <w:tc>
          <w:tcPr>
            <w:tcW w:w="969" w:type="dxa"/>
            <w:vAlign w:val="center"/>
          </w:tcPr>
          <w:p>
            <w:pPr>
              <w:keepNext w:val="0"/>
              <w:keepLines w:val="0"/>
              <w:widowControl/>
              <w:suppressLineNumbers w:val="0"/>
              <w:jc w:val="both"/>
              <w:textAlignment w:val="center"/>
              <w:rPr>
                <w:rFonts w:hint="eastAsia" w:ascii="仿宋" w:hAnsi="仿宋" w:eastAsia="仿宋" w:cs="仿宋"/>
                <w:sz w:val="15"/>
                <w:szCs w:val="15"/>
                <w:vertAlign w:val="baseline"/>
              </w:rPr>
            </w:pPr>
            <w:r>
              <w:rPr>
                <w:rFonts w:hint="eastAsia" w:ascii="仿宋" w:hAnsi="仿宋" w:eastAsia="仿宋" w:cs="仿宋"/>
                <w:i w:val="0"/>
                <w:iCs w:val="0"/>
                <w:color w:val="000000"/>
                <w:kern w:val="0"/>
                <w:sz w:val="15"/>
                <w:szCs w:val="15"/>
                <w:u w:val="none"/>
                <w:lang w:val="en-US" w:eastAsia="zh-CN" w:bidi="ar"/>
              </w:rPr>
              <w:t xml:space="preserve">   平湖街道小龙村吴某鱼占用林地盖房，建养鱼池，改变土地用途，影响周边环境。</w:t>
            </w:r>
          </w:p>
        </w:tc>
        <w:tc>
          <w:tcPr>
            <w:tcW w:w="5072" w:type="dxa"/>
            <w:vAlign w:val="center"/>
          </w:tcPr>
          <w:p>
            <w:pPr>
              <w:keepNext w:val="0"/>
              <w:keepLines w:val="0"/>
              <w:widowControl/>
              <w:suppressLineNumbers w:val="0"/>
              <w:jc w:val="both"/>
              <w:textAlignment w:val="center"/>
              <w:rPr>
                <w:rFonts w:hint="eastAsia" w:ascii="仿宋" w:hAnsi="仿宋" w:eastAsia="仿宋" w:cs="仿宋"/>
                <w:sz w:val="15"/>
                <w:szCs w:val="15"/>
                <w:vertAlign w:val="baseline"/>
              </w:rPr>
            </w:pPr>
            <w:r>
              <w:rPr>
                <w:rFonts w:hint="eastAsia" w:ascii="仿宋" w:hAnsi="仿宋" w:eastAsia="仿宋" w:cs="仿宋"/>
                <w:i w:val="0"/>
                <w:iCs w:val="0"/>
                <w:color w:val="000000"/>
                <w:kern w:val="0"/>
                <w:sz w:val="15"/>
                <w:szCs w:val="15"/>
                <w:u w:val="none"/>
                <w:lang w:val="en-US" w:eastAsia="zh-CN" w:bidi="ar"/>
              </w:rPr>
              <w:t xml:space="preserve">     经调查，群众反映问题基本属实。此案件与本轮环保督察第14批省内编号1485号、第16批省内编号1839号案件重复。</w:t>
            </w:r>
            <w:r>
              <w:rPr>
                <w:rFonts w:hint="eastAsia" w:ascii="仿宋" w:hAnsi="仿宋" w:eastAsia="仿宋" w:cs="仿宋"/>
                <w:i w:val="0"/>
                <w:iCs w:val="0"/>
                <w:color w:val="000000"/>
                <w:kern w:val="0"/>
                <w:sz w:val="15"/>
                <w:szCs w:val="15"/>
                <w:u w:val="none"/>
                <w:lang w:val="en-US" w:eastAsia="zh-CN" w:bidi="ar"/>
              </w:rPr>
              <w:br w:type="textWrapping"/>
            </w:r>
            <w:r>
              <w:rPr>
                <w:rFonts w:hint="eastAsia" w:ascii="仿宋" w:hAnsi="仿宋" w:eastAsia="仿宋" w:cs="仿宋"/>
                <w:i w:val="0"/>
                <w:iCs w:val="0"/>
                <w:color w:val="000000"/>
                <w:kern w:val="0"/>
                <w:sz w:val="15"/>
                <w:szCs w:val="15"/>
                <w:u w:val="none"/>
                <w:lang w:val="en-US" w:eastAsia="zh-CN" w:bidi="ar"/>
              </w:rPr>
              <w:t xml:space="preserve">    2021年9月20日，长春市双阳区自然资源局、长春市双阳区平湖街道办事处工作人员现场调查核实：举报反映位置实际为双阳区平湖街道小龙村北大顶砂坑，占地面积13023平方米，位于长春市双阳区平湖街道小龙村三社北山，2020年7月小龙村村委会将该宗地发包给吴某某。2020年7月17日，吴某某为该宗地办理了设施农用地备案手续，项目名称为吉林省丰园畜牧有限公司，备案面积13023平方米。该公司在砂坑及西南两侧废弃地内新建1栋办公室（双层，砖混结构，面积为770平方米），3栋彩钢平房（其中1栋433平方米，计划养殖鸽子，超出备案面积56平方米；第2栋490平方米，计划养殖大雁；第3栋7平方米，用作仓房，全部在备案区域以外），并将原天然水坑扩建至2247平方米修建成鱼塘，超出备案面积1998平方米，地类为林地，涉嫌未经审批改变林地用途。2021年9月9日，经双阳区土地测绘队现场测量，该公司实际占用土地16884平方米，其中11155平方米的面积在设施农用地备案面积内，超出备案面积5729平方米，其中占用林地4329平方米（吴某某并未在林地建房），占用采矿用地876平方米，占用耕地362平方米（其中基本农田158平方米），占用道路162平方米。因此，举报情况基本属实。</w:t>
            </w:r>
          </w:p>
        </w:tc>
        <w:tc>
          <w:tcPr>
            <w:tcW w:w="5196" w:type="dxa"/>
            <w:vAlign w:val="center"/>
          </w:tcPr>
          <w:p>
            <w:pPr>
              <w:keepNext w:val="0"/>
              <w:keepLines w:val="0"/>
              <w:widowControl/>
              <w:suppressLineNumbers w:val="0"/>
              <w:jc w:val="both"/>
              <w:textAlignment w:val="center"/>
              <w:rPr>
                <w:rFonts w:hint="eastAsia" w:ascii="仿宋" w:hAnsi="仿宋" w:eastAsia="仿宋" w:cs="仿宋"/>
                <w:sz w:val="15"/>
                <w:szCs w:val="15"/>
                <w:vertAlign w:val="baseline"/>
              </w:rPr>
            </w:pPr>
            <w:r>
              <w:rPr>
                <w:rFonts w:hint="eastAsia" w:ascii="仿宋" w:hAnsi="仿宋" w:eastAsia="仿宋" w:cs="仿宋"/>
                <w:i w:val="0"/>
                <w:iCs w:val="0"/>
                <w:color w:val="000000"/>
                <w:kern w:val="0"/>
                <w:sz w:val="15"/>
                <w:szCs w:val="15"/>
                <w:u w:val="none"/>
                <w:lang w:val="en-US" w:eastAsia="zh-CN" w:bidi="ar"/>
              </w:rPr>
              <w:t xml:space="preserve">   针对举报问题，长春市双阳区自然资源局已按照吉林省关于规范设施农业用地管理的要求，将吉林省丰园畜牧有限公司少批多占、不按备案用途使用设施农用地的违法行为转交属地政府处理。2021年9月13日，长春市双阳区平湖街道办事处向吴某某下达《责令停止违法行为通知书》（〔2021〕5号），责令其立即停止违法行为，同时下达《责令整改设施用地改变用途通知书》（平湖设改〔2021〕0913号），要求其对违规占用的耕地立即恢复土地使用原貌和种植条件，对违规超占建设部分长春市双阳区平湖街道办事处责令其拆除并恢复原规划用途。2021年9月23日，超出备案面积的63平方米的彩钢房已经拆除并恢复原规划用途。2021年9月24日，违规占用的362平方米耕地（其中基本农田158平方米）已恢复土地使用原貌和种植条件，违规占用的876平方米采矿用地和162平方米道路均已退回。</w:t>
            </w:r>
            <w:r>
              <w:rPr>
                <w:rFonts w:hint="eastAsia" w:ascii="仿宋" w:hAnsi="仿宋" w:eastAsia="仿宋" w:cs="仿宋"/>
                <w:i w:val="0"/>
                <w:iCs w:val="0"/>
                <w:color w:val="000000"/>
                <w:kern w:val="0"/>
                <w:sz w:val="15"/>
                <w:szCs w:val="15"/>
                <w:u w:val="none"/>
                <w:lang w:val="en-US" w:eastAsia="zh-CN" w:bidi="ar"/>
              </w:rPr>
              <w:br w:type="textWrapping"/>
            </w:r>
            <w:r>
              <w:rPr>
                <w:rFonts w:hint="eastAsia" w:ascii="仿宋" w:hAnsi="仿宋" w:eastAsia="仿宋" w:cs="仿宋"/>
                <w:i w:val="0"/>
                <w:iCs w:val="0"/>
                <w:color w:val="000000"/>
                <w:kern w:val="0"/>
                <w:sz w:val="15"/>
                <w:szCs w:val="15"/>
                <w:u w:val="none"/>
                <w:lang w:val="en-US" w:eastAsia="zh-CN" w:bidi="ar"/>
              </w:rPr>
              <w:t xml:space="preserve">    长春市双阳区自然资源局依据《森林法》第73条对其擅自改变林地用途依法立案查处（长双自然资林（总）罚立字〔2021〕027号），同时责令其对违规占用的林地限期恢复原状；多占部分因合同有异议，平湖街道小龙村已启动法律程序，将依法追回该企业多占土地为集体使用。</w:t>
            </w:r>
            <w:r>
              <w:rPr>
                <w:rFonts w:hint="eastAsia" w:ascii="仿宋" w:hAnsi="仿宋" w:eastAsia="仿宋" w:cs="仿宋"/>
                <w:i w:val="0"/>
                <w:iCs w:val="0"/>
                <w:color w:val="000000"/>
                <w:kern w:val="0"/>
                <w:sz w:val="15"/>
                <w:szCs w:val="15"/>
                <w:u w:val="none"/>
                <w:lang w:val="en-US" w:eastAsia="zh-CN" w:bidi="ar"/>
              </w:rPr>
              <w:br w:type="textWrapping"/>
            </w:r>
            <w:r>
              <w:rPr>
                <w:rFonts w:hint="eastAsia" w:ascii="仿宋" w:hAnsi="仿宋" w:eastAsia="仿宋" w:cs="仿宋"/>
                <w:i w:val="0"/>
                <w:iCs w:val="0"/>
                <w:color w:val="000000"/>
                <w:kern w:val="0"/>
                <w:sz w:val="15"/>
                <w:szCs w:val="15"/>
                <w:u w:val="none"/>
                <w:lang w:val="en-US" w:eastAsia="zh-CN" w:bidi="ar"/>
              </w:rPr>
              <w:t xml:space="preserve">    下一步，长春市双阳区平湖街道办事处将切实加强对设施农用地的监管力度，全面落实监管责任，建立健全和完善巡查机制，举一反三，对各类未按照审批使用土地情况做到早发现、早制止、早查处，有效防范违法行为发生。</w:t>
            </w:r>
          </w:p>
        </w:tc>
        <w:tc>
          <w:tcPr>
            <w:tcW w:w="1541" w:type="dxa"/>
            <w:vAlign w:val="center"/>
          </w:tcPr>
          <w:p>
            <w:pPr>
              <w:keepNext w:val="0"/>
              <w:keepLines w:val="0"/>
              <w:widowControl/>
              <w:suppressLineNumbers w:val="0"/>
              <w:jc w:val="both"/>
              <w:textAlignment w:val="center"/>
              <w:rPr>
                <w:rFonts w:hint="eastAsia" w:ascii="仿宋" w:hAnsi="仿宋" w:eastAsia="仿宋" w:cs="仿宋"/>
                <w:sz w:val="15"/>
                <w:szCs w:val="15"/>
                <w:vertAlign w:val="baseline"/>
              </w:rPr>
            </w:pPr>
            <w:r>
              <w:rPr>
                <w:rFonts w:hint="eastAsia" w:ascii="仿宋" w:hAnsi="仿宋" w:eastAsia="仿宋" w:cs="仿宋"/>
                <w:i w:val="0"/>
                <w:iCs w:val="0"/>
                <w:color w:val="000000"/>
                <w:kern w:val="0"/>
                <w:sz w:val="15"/>
                <w:szCs w:val="15"/>
                <w:u w:val="none"/>
                <w:lang w:val="en-US" w:eastAsia="zh-CN" w:bidi="ar"/>
              </w:rPr>
              <w:t xml:space="preserve">    双阳区平湖街道小龙村村民委员会对吴某余多占土地已于2021年11月份将吴某某起诉，双阳区法院已对多占部分进行判决，小龙村依法院判决已执行完毕；吴某余分别对超出备案的两个56平方、7平方彩钢房已拆除并恢复土地原状；占用林地的鱼池已填平并恢复土地原状；其余违建部分均已拆除恢复土地原状。</w:t>
            </w:r>
          </w:p>
        </w:tc>
        <w:tc>
          <w:tcPr>
            <w:tcW w:w="807" w:type="dxa"/>
            <w:vAlign w:val="center"/>
          </w:tcPr>
          <w:p>
            <w:pPr>
              <w:keepNext w:val="0"/>
              <w:keepLines w:val="0"/>
              <w:widowControl/>
              <w:suppressLineNumbers w:val="0"/>
              <w:jc w:val="both"/>
              <w:textAlignment w:val="center"/>
              <w:rPr>
                <w:rFonts w:hint="eastAsia" w:ascii="仿宋" w:hAnsi="仿宋" w:eastAsia="仿宋" w:cs="仿宋"/>
                <w:sz w:val="15"/>
                <w:szCs w:val="15"/>
                <w:vertAlign w:val="baseline"/>
              </w:rPr>
            </w:pPr>
            <w:r>
              <w:rPr>
                <w:rFonts w:hint="eastAsia" w:ascii="仿宋" w:hAnsi="仿宋" w:eastAsia="仿宋" w:cs="仿宋"/>
                <w:i w:val="0"/>
                <w:iCs w:val="0"/>
                <w:color w:val="000000"/>
                <w:kern w:val="0"/>
                <w:sz w:val="15"/>
                <w:szCs w:val="15"/>
                <w:u w:val="none"/>
                <w:lang w:val="en-US" w:eastAsia="zh-CN" w:bidi="ar"/>
              </w:rPr>
              <w:t>2022年12月31日前</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hMjZhMzlmMjNkYTYyMjZmZGNkZmI5YzhkZjM3N2IifQ=="/>
  </w:docVars>
  <w:rsids>
    <w:rsidRoot w:val="00000000"/>
    <w:rsid w:val="1A2F7D2A"/>
    <w:rsid w:val="661D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760</Words>
  <Characters>845</Characters>
  <Lines>0</Lines>
  <Paragraphs>0</Paragraphs>
  <TotalTime>0</TotalTime>
  <ScaleCrop>false</ScaleCrop>
  <LinksUpToDate>false</LinksUpToDate>
  <CharactersWithSpaces>846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2022-08-11T02:55:00Z</dcterms:created>
  <dc:creator>Administrator</dc:creator>
  <cp:lastModifiedBy>Administrator</cp:lastModifiedBy>
  <dcterms:modified xsi:type="dcterms:W3CDTF">2022-08-11T06:14:15Z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DB0739E3CE4846FD86C8FA7D2F4703A8</vt:lpwstr>
  </property>
</Properties>
</file>